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9D1D6">
      <w:pPr>
        <w:pStyle w:val="2"/>
        <w:ind w:right="-92" w:rightChars="-44"/>
        <w:jc w:val="center"/>
        <w:rPr>
          <w:rFonts w:hint="eastAsia" w:ascii="宋体" w:hAnsi="宋体" w:cs="宋体"/>
          <w:color w:val="auto"/>
          <w:sz w:val="36"/>
          <w:szCs w:val="36"/>
        </w:rPr>
      </w:pPr>
      <w:r>
        <w:rPr>
          <w:rFonts w:hint="eastAsia" w:ascii="宋体" w:hAnsi="宋体" w:cs="宋体"/>
          <w:color w:val="auto"/>
          <w:sz w:val="36"/>
          <w:szCs w:val="36"/>
        </w:rPr>
        <w:t>采购项目技术、服务、采购合同内容条款及其他商务要求</w:t>
      </w:r>
    </w:p>
    <w:p w14:paraId="626A0920">
      <w:pPr>
        <w:pStyle w:val="5"/>
        <w:ind w:right="-92" w:rightChars="-44" w:firstLine="482" w:firstLineChars="200"/>
        <w:outlineLvl w:val="1"/>
        <w:rPr>
          <w:rFonts w:hint="eastAsia" w:ascii="宋体" w:hAnsi="宋体" w:cs="宋体"/>
          <w:b/>
          <w:bCs/>
          <w:color w:val="auto"/>
          <w:sz w:val="24"/>
        </w:rPr>
      </w:pPr>
      <w:bookmarkStart w:id="0" w:name="_Toc217446094"/>
      <w:r>
        <w:rPr>
          <w:rFonts w:hint="eastAsia" w:ascii="宋体" w:hAnsi="宋体" w:cs="宋体"/>
          <w:b/>
          <w:bCs/>
          <w:color w:val="auto"/>
          <w:sz w:val="24"/>
        </w:rPr>
        <w:t>一、项目概述</w:t>
      </w:r>
      <w:bookmarkEnd w:id="0"/>
    </w:p>
    <w:p w14:paraId="353C5D61">
      <w:pPr>
        <w:spacing w:after="156" w:afterLines="50" w:line="360" w:lineRule="auto"/>
        <w:ind w:right="-92" w:rightChars="-44" w:firstLine="480" w:firstLineChars="200"/>
        <w:rPr>
          <w:rFonts w:hint="eastAsia" w:ascii="宋体" w:hAnsi="宋体" w:cs="宋体"/>
          <w:color w:val="auto"/>
          <w:spacing w:val="-4"/>
          <w:sz w:val="24"/>
        </w:rPr>
      </w:pPr>
      <w:bookmarkStart w:id="1" w:name="_Toc217446095"/>
      <w:r>
        <w:rPr>
          <w:rFonts w:hint="eastAsia" w:ascii="宋体" w:hAnsi="宋体" w:cs="宋体"/>
          <w:color w:val="auto"/>
          <w:sz w:val="24"/>
          <w:highlight w:val="none"/>
          <w:lang w:eastAsia="zh-CN"/>
        </w:rPr>
        <w:t>西南科技大学</w:t>
      </w:r>
      <w:r>
        <w:rPr>
          <w:rFonts w:hint="eastAsia" w:ascii="宋体" w:hAnsi="宋体" w:cs="宋体"/>
          <w:color w:val="auto"/>
          <w:sz w:val="24"/>
          <w:highlight w:val="none"/>
        </w:rPr>
        <w:t>拟采购</w:t>
      </w:r>
      <w:r>
        <w:rPr>
          <w:rFonts w:hint="eastAsia" w:ascii="宋体" w:hAnsi="宋体" w:cs="宋体"/>
          <w:color w:val="auto"/>
          <w:sz w:val="24"/>
          <w:highlight w:val="none"/>
          <w:lang w:eastAsia="zh-CN"/>
        </w:rPr>
        <w:t xml:space="preserve"> 2025年基建维修工程全过程控制服务一项</w:t>
      </w:r>
      <w:r>
        <w:rPr>
          <w:rFonts w:hint="eastAsia" w:ascii="宋体" w:hAnsi="宋体" w:cs="宋体"/>
          <w:color w:val="auto"/>
          <w:sz w:val="24"/>
          <w:highlight w:val="none"/>
          <w:lang w:val="zh-CN"/>
        </w:rPr>
        <w:t>，</w:t>
      </w:r>
      <w:r>
        <w:rPr>
          <w:rFonts w:hint="eastAsia" w:ascii="宋体" w:hAnsi="宋体" w:cs="宋体"/>
          <w:color w:val="auto"/>
          <w:sz w:val="24"/>
          <w:highlight w:val="none"/>
        </w:rPr>
        <w:t>本项目为1个包。</w:t>
      </w:r>
    </w:p>
    <w:p w14:paraId="09089AD2">
      <w:pPr>
        <w:pStyle w:val="5"/>
        <w:ind w:right="-92" w:rightChars="-44" w:firstLine="482" w:firstLineChars="200"/>
        <w:outlineLvl w:val="1"/>
        <w:rPr>
          <w:rFonts w:hint="eastAsia" w:ascii="宋体" w:hAnsi="宋体" w:cs="宋体"/>
          <w:b/>
          <w:bCs/>
          <w:color w:val="auto"/>
          <w:sz w:val="24"/>
        </w:rPr>
      </w:pPr>
      <w:r>
        <w:rPr>
          <w:rFonts w:hint="eastAsia" w:ascii="宋体" w:hAnsi="宋体" w:eastAsia="宋体" w:cs="宋体"/>
          <w:b/>
          <w:bCs/>
          <w:color w:val="auto"/>
          <w:sz w:val="24"/>
          <w:lang w:eastAsia="zh-CN"/>
        </w:rPr>
        <w:t>★</w:t>
      </w:r>
      <w:r>
        <w:rPr>
          <w:rFonts w:hint="eastAsia" w:ascii="宋体" w:hAnsi="宋体" w:cs="宋体"/>
          <w:b/>
          <w:bCs/>
          <w:color w:val="auto"/>
          <w:sz w:val="24"/>
        </w:rPr>
        <w:t>二、</w:t>
      </w:r>
      <w:r>
        <w:rPr>
          <w:rFonts w:hint="eastAsia" w:ascii="宋体" w:hAnsi="宋体" w:cs="宋体"/>
          <w:b/>
          <w:bCs/>
          <w:color w:val="auto"/>
          <w:sz w:val="24"/>
          <w:lang w:eastAsia="zh-CN"/>
        </w:rPr>
        <w:t>采购标的</w:t>
      </w:r>
      <w:r>
        <w:rPr>
          <w:rFonts w:hint="eastAsia" w:ascii="宋体" w:hAnsi="宋体" w:cs="宋体"/>
          <w:b/>
          <w:bCs/>
          <w:color w:val="auto"/>
          <w:sz w:val="24"/>
        </w:rPr>
        <w:t>清单</w:t>
      </w:r>
      <w:r>
        <w:rPr>
          <w:rFonts w:hint="eastAsia" w:ascii="宋体" w:hAnsi="宋体" w:eastAsia="宋体" w:cs="宋体"/>
          <w:b/>
          <w:bCs/>
          <w:color w:val="auto"/>
          <w:sz w:val="24"/>
          <w:lang w:eastAsia="zh-CN"/>
        </w:rPr>
        <w:t>（实质性要求）</w:t>
      </w:r>
    </w:p>
    <w:tbl>
      <w:tblPr>
        <w:tblStyle w:val="9"/>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000"/>
        <w:gridCol w:w="1048"/>
        <w:gridCol w:w="956"/>
        <w:gridCol w:w="2168"/>
        <w:gridCol w:w="1631"/>
      </w:tblGrid>
      <w:tr w14:paraId="1793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1" w:type="dxa"/>
            <w:noWrap w:val="0"/>
            <w:vAlign w:val="center"/>
          </w:tcPr>
          <w:p w14:paraId="74E5C5A0">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000" w:type="dxa"/>
            <w:noWrap w:val="0"/>
            <w:vAlign w:val="center"/>
          </w:tcPr>
          <w:p w14:paraId="3F15E17C">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标的名称</w:t>
            </w:r>
          </w:p>
        </w:tc>
        <w:tc>
          <w:tcPr>
            <w:tcW w:w="1048" w:type="dxa"/>
            <w:noWrap w:val="0"/>
            <w:vAlign w:val="center"/>
          </w:tcPr>
          <w:p w14:paraId="53953C92">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计量</w:t>
            </w:r>
          </w:p>
          <w:p w14:paraId="55F64DD3">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56" w:type="dxa"/>
            <w:noWrap w:val="0"/>
            <w:vAlign w:val="center"/>
          </w:tcPr>
          <w:p w14:paraId="53083534">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2168" w:type="dxa"/>
            <w:noWrap w:val="0"/>
            <w:vAlign w:val="center"/>
          </w:tcPr>
          <w:p w14:paraId="484E91D5">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预算</w:t>
            </w:r>
            <w:r>
              <w:rPr>
                <w:rFonts w:hint="eastAsia" w:ascii="宋体" w:hAnsi="宋体" w:eastAsia="宋体" w:cs="宋体"/>
                <w:b/>
                <w:bCs/>
                <w:color w:val="auto"/>
                <w:sz w:val="21"/>
                <w:szCs w:val="21"/>
              </w:rPr>
              <w:t>（元）</w:t>
            </w:r>
          </w:p>
        </w:tc>
        <w:tc>
          <w:tcPr>
            <w:tcW w:w="1631" w:type="dxa"/>
            <w:noWrap w:val="0"/>
            <w:vAlign w:val="center"/>
          </w:tcPr>
          <w:p w14:paraId="0F4F33D8">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所属行业</w:t>
            </w:r>
          </w:p>
        </w:tc>
      </w:tr>
      <w:tr w14:paraId="5725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1" w:type="dxa"/>
            <w:noWrap w:val="0"/>
            <w:vAlign w:val="center"/>
          </w:tcPr>
          <w:p w14:paraId="09C2DABA">
            <w:pPr>
              <w:adjustRightInd w:val="0"/>
              <w:snapToGrid w:val="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3000" w:type="dxa"/>
            <w:noWrap w:val="0"/>
            <w:vAlign w:val="center"/>
          </w:tcPr>
          <w:p w14:paraId="0428E0E0">
            <w:pPr>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2025年基建维修工程全过程控制服务</w:t>
            </w:r>
          </w:p>
        </w:tc>
        <w:tc>
          <w:tcPr>
            <w:tcW w:w="1048" w:type="dxa"/>
            <w:noWrap w:val="0"/>
            <w:vAlign w:val="center"/>
          </w:tcPr>
          <w:p w14:paraId="3B310631">
            <w:pPr>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956" w:type="dxa"/>
            <w:noWrap w:val="0"/>
            <w:vAlign w:val="center"/>
          </w:tcPr>
          <w:p w14:paraId="6FF4681F">
            <w:pPr>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68" w:type="dxa"/>
            <w:noWrap w:val="0"/>
            <w:vAlign w:val="center"/>
          </w:tcPr>
          <w:p w14:paraId="229B50B1">
            <w:pPr>
              <w:adjustRightInd w:val="0"/>
              <w:snapToGrid w:val="0"/>
              <w:jc w:val="center"/>
              <w:textAlignment w:val="center"/>
              <w:rPr>
                <w:rFonts w:hint="eastAsia" w:ascii="宋体" w:hAnsi="宋体" w:eastAsia="宋体" w:cs="宋体"/>
                <w:color w:val="auto"/>
                <w:sz w:val="21"/>
                <w:szCs w:val="21"/>
              </w:rPr>
            </w:pPr>
            <w:r>
              <w:rPr>
                <w:rFonts w:ascii="宋体" w:hAnsi="宋体" w:eastAsia="宋体" w:cs="宋体"/>
                <w:color w:val="auto"/>
                <w:sz w:val="21"/>
                <w:szCs w:val="21"/>
              </w:rPr>
              <w:t>15</w:t>
            </w:r>
            <w:r>
              <w:rPr>
                <w:rFonts w:hint="eastAsia" w:ascii="宋体" w:hAnsi="宋体" w:eastAsia="宋体" w:cs="宋体"/>
                <w:color w:val="auto"/>
                <w:sz w:val="21"/>
                <w:szCs w:val="21"/>
              </w:rPr>
              <w:t>0000</w:t>
            </w:r>
          </w:p>
        </w:tc>
        <w:tc>
          <w:tcPr>
            <w:tcW w:w="1631" w:type="dxa"/>
            <w:noWrap w:val="0"/>
            <w:vAlign w:val="center"/>
          </w:tcPr>
          <w:p w14:paraId="071A221F">
            <w:pPr>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其他未列明行业</w:t>
            </w:r>
          </w:p>
        </w:tc>
      </w:tr>
    </w:tbl>
    <w:p w14:paraId="4FB4A94E">
      <w:pPr>
        <w:widowControl/>
        <w:spacing w:line="360" w:lineRule="atLeast"/>
        <w:ind w:right="-92" w:rightChars="-44" w:firstLine="470" w:firstLineChars="196"/>
        <w:jc w:val="left"/>
        <w:rPr>
          <w:rFonts w:hint="eastAsia" w:ascii="宋体" w:hAnsi="宋体" w:cs="宋体"/>
          <w:color w:val="auto"/>
        </w:rPr>
      </w:pPr>
      <w:r>
        <w:rPr>
          <w:rFonts w:hint="eastAsia" w:ascii="宋体" w:hAnsi="宋体" w:cs="宋体"/>
          <w:color w:val="auto"/>
          <w:sz w:val="24"/>
        </w:rPr>
        <w:t xml:space="preserve">                            </w:t>
      </w:r>
    </w:p>
    <w:bookmarkEnd w:id="1"/>
    <w:p w14:paraId="0681B31D">
      <w:pPr>
        <w:pStyle w:val="5"/>
        <w:ind w:right="-92" w:rightChars="-44" w:firstLine="482" w:firstLineChars="200"/>
        <w:outlineLvl w:val="1"/>
        <w:rPr>
          <w:rFonts w:hint="eastAsia" w:ascii="宋体" w:hAnsi="宋体" w:cs="宋体"/>
          <w:b/>
          <w:bCs/>
          <w:color w:val="auto"/>
          <w:sz w:val="24"/>
        </w:rPr>
      </w:pPr>
      <w:r>
        <w:rPr>
          <w:rFonts w:hint="eastAsia" w:ascii="宋体" w:hAnsi="宋体" w:eastAsia="宋体" w:cs="宋体"/>
          <w:b/>
          <w:bCs/>
          <w:color w:val="auto"/>
          <w:sz w:val="24"/>
          <w:lang w:eastAsia="zh-CN"/>
        </w:rPr>
        <w:t>★三、技术参数具体内容（实质性要求）</w:t>
      </w:r>
    </w:p>
    <w:tbl>
      <w:tblPr>
        <w:tblStyle w:val="8"/>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798"/>
        <w:gridCol w:w="7121"/>
      </w:tblGrid>
      <w:tr w14:paraId="1BC6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4" w:type="dxa"/>
            <w:noWrap w:val="0"/>
            <w:vAlign w:val="center"/>
          </w:tcPr>
          <w:p w14:paraId="621DCF64">
            <w:pPr>
              <w:widowControl/>
              <w:spacing w:line="360" w:lineRule="exact"/>
              <w:jc w:val="center"/>
              <w:rPr>
                <w:rFonts w:ascii="宋体" w:hAnsi="宋体" w:eastAsia="宋体" w:cs="宋体"/>
                <w:b/>
                <w:bCs/>
                <w:color w:val="auto"/>
                <w:kern w:val="0"/>
                <w:sz w:val="21"/>
                <w:szCs w:val="21"/>
              </w:rPr>
            </w:pPr>
            <w:r>
              <w:rPr>
                <w:rFonts w:hint="eastAsia" w:ascii="宋体" w:hAnsi="宋体" w:eastAsia="宋体" w:cs="宋体"/>
                <w:color w:val="auto"/>
                <w:sz w:val="21"/>
                <w:szCs w:val="21"/>
              </w:rPr>
              <w:t>序号</w:t>
            </w:r>
          </w:p>
        </w:tc>
        <w:tc>
          <w:tcPr>
            <w:tcW w:w="1798" w:type="dxa"/>
            <w:noWrap w:val="0"/>
            <w:vAlign w:val="center"/>
          </w:tcPr>
          <w:p w14:paraId="6182FAF7">
            <w:pPr>
              <w:widowControl/>
              <w:spacing w:line="360" w:lineRule="exact"/>
              <w:jc w:val="center"/>
              <w:rPr>
                <w:rFonts w:ascii="宋体" w:hAnsi="宋体" w:eastAsia="宋体" w:cs="宋体"/>
                <w:b/>
                <w:bCs/>
                <w:color w:val="auto"/>
                <w:kern w:val="0"/>
                <w:sz w:val="21"/>
                <w:szCs w:val="21"/>
              </w:rPr>
            </w:pPr>
            <w:r>
              <w:rPr>
                <w:rFonts w:hint="eastAsia" w:ascii="宋体" w:hAnsi="宋体" w:eastAsia="宋体" w:cs="宋体"/>
                <w:color w:val="auto"/>
                <w:sz w:val="21"/>
                <w:szCs w:val="21"/>
              </w:rPr>
              <w:t>标的名称</w:t>
            </w:r>
          </w:p>
        </w:tc>
        <w:tc>
          <w:tcPr>
            <w:tcW w:w="7121" w:type="dxa"/>
            <w:noWrap w:val="0"/>
            <w:vAlign w:val="center"/>
          </w:tcPr>
          <w:p w14:paraId="36C612E3">
            <w:pPr>
              <w:widowControl/>
              <w:spacing w:line="360" w:lineRule="exact"/>
              <w:jc w:val="center"/>
              <w:rPr>
                <w:rFonts w:ascii="宋体" w:hAnsi="宋体" w:eastAsia="宋体" w:cs="宋体"/>
                <w:b/>
                <w:bCs/>
                <w:color w:val="auto"/>
                <w:kern w:val="0"/>
                <w:sz w:val="21"/>
                <w:szCs w:val="21"/>
              </w:rPr>
            </w:pPr>
            <w:r>
              <w:rPr>
                <w:rFonts w:hint="eastAsia" w:ascii="宋体" w:hAnsi="宋体" w:eastAsia="宋体" w:cs="宋体"/>
                <w:color w:val="auto"/>
                <w:sz w:val="21"/>
                <w:szCs w:val="21"/>
              </w:rPr>
              <w:t>各模块的服务内容与要求</w:t>
            </w:r>
          </w:p>
        </w:tc>
      </w:tr>
      <w:tr w14:paraId="3170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964" w:type="dxa"/>
            <w:noWrap w:val="0"/>
            <w:vAlign w:val="center"/>
          </w:tcPr>
          <w:p w14:paraId="36EF5A32">
            <w:pPr>
              <w:widowControl/>
              <w:spacing w:line="360" w:lineRule="exact"/>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1</w:t>
            </w:r>
          </w:p>
          <w:p w14:paraId="1D4572E3">
            <w:pPr>
              <w:widowControl/>
              <w:spacing w:line="360" w:lineRule="exact"/>
              <w:jc w:val="center"/>
              <w:rPr>
                <w:rFonts w:ascii="宋体" w:hAnsi="宋体" w:eastAsia="宋体" w:cs="宋体"/>
                <w:b/>
                <w:bCs/>
                <w:color w:val="auto"/>
                <w:kern w:val="0"/>
                <w:sz w:val="21"/>
                <w:szCs w:val="21"/>
              </w:rPr>
            </w:pPr>
          </w:p>
        </w:tc>
        <w:tc>
          <w:tcPr>
            <w:tcW w:w="1798" w:type="dxa"/>
            <w:noWrap w:val="0"/>
            <w:vAlign w:val="center"/>
          </w:tcPr>
          <w:p w14:paraId="06BF0B12">
            <w:pPr>
              <w:adjustRightInd w:val="0"/>
              <w:snapToGrid w:val="0"/>
              <w:spacing w:line="360" w:lineRule="auto"/>
              <w:rPr>
                <w:rFonts w:ascii="宋体" w:hAnsi="宋体" w:eastAsia="宋体" w:cs="宋体"/>
                <w:color w:val="auto"/>
                <w:sz w:val="21"/>
                <w:szCs w:val="21"/>
              </w:rPr>
            </w:pPr>
            <w:r>
              <w:rPr>
                <w:rFonts w:ascii="宋体" w:hAnsi="宋体" w:eastAsia="宋体" w:cs="宋体"/>
                <w:color w:val="auto"/>
                <w:sz w:val="21"/>
                <w:szCs w:val="21"/>
              </w:rPr>
              <w:t xml:space="preserve"> 2025年基建维修工程全过程控制服务 </w:t>
            </w:r>
          </w:p>
        </w:tc>
        <w:tc>
          <w:tcPr>
            <w:tcW w:w="7121" w:type="dxa"/>
            <w:noWrap w:val="0"/>
            <w:vAlign w:val="center"/>
          </w:tcPr>
          <w:p w14:paraId="5E74EE8D">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1、服务内容</w:t>
            </w:r>
          </w:p>
          <w:p w14:paraId="77E34776">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供应商按照国家法律法规以及行业相关规范，对西南科技大学基建工程项目提供全过程造价控制管理工作，包括但不限于：</w:t>
            </w:r>
          </w:p>
          <w:p w14:paraId="62F16D20">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基建维修项目工程量</w:t>
            </w:r>
            <w:r>
              <w:rPr>
                <w:rFonts w:hint="eastAsia" w:ascii="宋体" w:hAnsi="宋体" w:eastAsia="宋体" w:cs="宋体"/>
                <w:color w:val="auto"/>
                <w:sz w:val="21"/>
                <w:szCs w:val="21"/>
              </w:rPr>
              <w:t>清单</w:t>
            </w:r>
            <w:r>
              <w:rPr>
                <w:rFonts w:ascii="宋体" w:hAnsi="宋体" w:eastAsia="宋体" w:cs="宋体"/>
                <w:color w:val="auto"/>
                <w:sz w:val="21"/>
                <w:szCs w:val="21"/>
              </w:rPr>
              <w:t>及招标</w:t>
            </w:r>
            <w:r>
              <w:rPr>
                <w:rFonts w:hint="eastAsia" w:ascii="宋体" w:hAnsi="宋体" w:eastAsia="宋体" w:cs="宋体"/>
                <w:color w:val="auto"/>
                <w:sz w:val="21"/>
                <w:szCs w:val="21"/>
              </w:rPr>
              <w:t>控制价的审核</w:t>
            </w:r>
            <w:r>
              <w:rPr>
                <w:rFonts w:ascii="宋体" w:hAnsi="宋体" w:eastAsia="宋体" w:cs="宋体"/>
                <w:color w:val="auto"/>
                <w:sz w:val="21"/>
                <w:szCs w:val="21"/>
              </w:rPr>
              <w:t>；</w:t>
            </w:r>
          </w:p>
          <w:p w14:paraId="33140563">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（2）</w:t>
            </w:r>
            <w:r>
              <w:rPr>
                <w:rFonts w:ascii="宋体" w:hAnsi="宋体" w:eastAsia="宋体" w:cs="宋体"/>
                <w:color w:val="auto"/>
                <w:sz w:val="21"/>
                <w:szCs w:val="21"/>
              </w:rPr>
              <w:t>基建维修项目</w:t>
            </w:r>
            <w:r>
              <w:rPr>
                <w:rFonts w:hint="eastAsia" w:ascii="宋体" w:hAnsi="宋体" w:eastAsia="宋体" w:cs="宋体"/>
                <w:color w:val="auto"/>
                <w:sz w:val="21"/>
                <w:szCs w:val="21"/>
              </w:rPr>
              <w:t>实施过程中涉及到造价变动项目的咨询</w:t>
            </w:r>
            <w:r>
              <w:rPr>
                <w:rFonts w:ascii="宋体" w:hAnsi="宋体" w:eastAsia="宋体" w:cs="宋体"/>
                <w:color w:val="auto"/>
                <w:sz w:val="21"/>
                <w:szCs w:val="21"/>
              </w:rPr>
              <w:t>；</w:t>
            </w:r>
          </w:p>
          <w:p w14:paraId="7665AEA9">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基建维修项目</w:t>
            </w:r>
            <w:r>
              <w:rPr>
                <w:rFonts w:hint="eastAsia" w:ascii="宋体" w:hAnsi="宋体" w:eastAsia="宋体" w:cs="宋体"/>
                <w:color w:val="auto"/>
                <w:sz w:val="21"/>
                <w:szCs w:val="21"/>
              </w:rPr>
              <w:t>实施过程中参与材料的认质认价</w:t>
            </w:r>
            <w:r>
              <w:rPr>
                <w:rFonts w:ascii="宋体" w:hAnsi="宋体" w:eastAsia="宋体" w:cs="宋体"/>
                <w:color w:val="auto"/>
                <w:sz w:val="21"/>
                <w:szCs w:val="21"/>
              </w:rPr>
              <w:t>；</w:t>
            </w:r>
          </w:p>
          <w:p w14:paraId="53621CFF">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基建维修项目</w:t>
            </w:r>
            <w:r>
              <w:rPr>
                <w:rFonts w:hint="eastAsia" w:ascii="宋体" w:hAnsi="宋体" w:eastAsia="宋体" w:cs="宋体"/>
                <w:color w:val="auto"/>
                <w:sz w:val="21"/>
                <w:szCs w:val="21"/>
              </w:rPr>
              <w:t>结算资料的初审</w:t>
            </w:r>
            <w:r>
              <w:rPr>
                <w:rFonts w:ascii="宋体" w:hAnsi="宋体" w:eastAsia="宋体" w:cs="宋体"/>
                <w:color w:val="auto"/>
                <w:sz w:val="21"/>
                <w:szCs w:val="21"/>
              </w:rPr>
              <w:t>；</w:t>
            </w:r>
          </w:p>
          <w:p w14:paraId="2F7C52B4">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根据学校需要及安排，</w:t>
            </w:r>
            <w:r>
              <w:rPr>
                <w:rFonts w:hint="eastAsia" w:ascii="宋体" w:hAnsi="宋体" w:eastAsia="宋体" w:cs="宋体"/>
                <w:color w:val="auto"/>
                <w:sz w:val="21"/>
                <w:szCs w:val="21"/>
              </w:rPr>
              <w:t>开展</w:t>
            </w:r>
            <w:r>
              <w:rPr>
                <w:rFonts w:ascii="宋体" w:hAnsi="宋体" w:eastAsia="宋体" w:cs="宋体"/>
                <w:color w:val="auto"/>
                <w:sz w:val="21"/>
                <w:szCs w:val="21"/>
              </w:rPr>
              <w:t>零星维修项目的竣工结算审核。</w:t>
            </w:r>
          </w:p>
          <w:p w14:paraId="56332F40">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2、工作要求</w:t>
            </w:r>
          </w:p>
          <w:p w14:paraId="3E94C080">
            <w:pPr>
              <w:adjustRightInd w:val="0"/>
              <w:snapToGrid w:val="0"/>
              <w:spacing w:line="360" w:lineRule="auto"/>
              <w:rPr>
                <w:rFonts w:ascii="宋体" w:hAnsi="宋体" w:eastAsia="宋体" w:cs="宋体"/>
                <w:color w:val="auto"/>
                <w:sz w:val="21"/>
                <w:szCs w:val="21"/>
              </w:rPr>
            </w:pPr>
            <w:r>
              <w:rPr>
                <w:rFonts w:ascii="宋体" w:hAnsi="宋体" w:eastAsia="宋体" w:cs="宋体"/>
                <w:color w:val="auto"/>
                <w:sz w:val="21"/>
                <w:szCs w:val="21"/>
              </w:rPr>
              <w:t>对在服务过程中知悉的采购人单位信息及采购单位提供的资料保密，服务内容和服务成果不得向第三方泄露。供应商服务过程中应严格遵守职业道德规范和廉洁从业制度。</w:t>
            </w:r>
          </w:p>
          <w:p w14:paraId="4A8E0965">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3、人员要求</w:t>
            </w:r>
          </w:p>
          <w:p w14:paraId="5B83FA49">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（1）在整个项目服务期间内，现场工作由项目负责人带领项目组人员实施。</w:t>
            </w:r>
          </w:p>
          <w:p w14:paraId="6A44CC91">
            <w:pPr>
              <w:adjustRightInd w:val="0"/>
              <w:snapToGrid w:val="0"/>
              <w:spacing w:line="360" w:lineRule="auto"/>
              <w:rPr>
                <w:rFonts w:ascii="宋体" w:hAnsi="宋体" w:eastAsia="宋体" w:cs="宋体"/>
                <w:b/>
                <w:bCs/>
                <w:color w:val="auto"/>
                <w:sz w:val="21"/>
                <w:szCs w:val="21"/>
              </w:rPr>
            </w:pPr>
            <w:r>
              <w:rPr>
                <w:rFonts w:hint="eastAsia" w:ascii="宋体" w:hAnsi="宋体" w:eastAsia="宋体" w:cs="宋体"/>
                <w:color w:val="auto"/>
                <w:sz w:val="21"/>
                <w:szCs w:val="21"/>
              </w:rPr>
              <w:t>（2）项目组应配备与项目相关的工程专业骨干人员。项目组成员（项目负责人除外）至少3名</w:t>
            </w:r>
            <w:r>
              <w:rPr>
                <w:rFonts w:hint="eastAsia" w:ascii="宋体" w:hAnsi="宋体" w:eastAsia="宋体" w:cs="宋体"/>
                <w:b/>
                <w:bCs/>
                <w:color w:val="auto"/>
                <w:sz w:val="21"/>
                <w:szCs w:val="21"/>
              </w:rPr>
              <w:t>（供应商提供人员信息表，格式自拟）。</w:t>
            </w:r>
          </w:p>
          <w:p w14:paraId="42551A51">
            <w:pPr>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（3）响应文件中配备的项目负责人和其他成员，原则上不得更换，遇特殊情况确需更换人员的，须告知采购人并保证新成员的资历与原成员相当，经采购人书面同意方可换人。</w:t>
            </w:r>
          </w:p>
        </w:tc>
      </w:tr>
    </w:tbl>
    <w:p w14:paraId="1AB82FD1">
      <w:pPr>
        <w:pStyle w:val="5"/>
        <w:keepNext w:val="0"/>
        <w:keepLines w:val="0"/>
        <w:pageBreakBefore w:val="0"/>
        <w:widowControl w:val="0"/>
        <w:kinsoku/>
        <w:wordWrap/>
        <w:overflowPunct/>
        <w:topLinePunct w:val="0"/>
        <w:autoSpaceDE/>
        <w:autoSpaceDN/>
        <w:bidi w:val="0"/>
        <w:adjustRightInd/>
        <w:snapToGrid/>
        <w:ind w:right="-92" w:rightChars="-44" w:firstLine="482" w:firstLineChars="200"/>
        <w:textAlignment w:val="auto"/>
        <w:outlineLvl w:val="9"/>
        <w:rPr>
          <w:rFonts w:hint="eastAsia" w:ascii="宋体" w:hAnsi="宋体" w:cs="宋体"/>
          <w:b/>
          <w:bCs/>
          <w:color w:val="auto"/>
          <w:sz w:val="24"/>
          <w:highlight w:val="yellow"/>
        </w:rPr>
      </w:pPr>
    </w:p>
    <w:p w14:paraId="644E12F4">
      <w:pPr>
        <w:pStyle w:val="5"/>
        <w:ind w:right="-92" w:rightChars="-44" w:firstLine="482" w:firstLineChars="200"/>
        <w:outlineLvl w:val="1"/>
        <w:rPr>
          <w:rFonts w:hint="eastAsia" w:ascii="宋体" w:hAnsi="宋体" w:cs="宋体"/>
          <w:b/>
          <w:bCs/>
          <w:color w:val="auto"/>
          <w:sz w:val="24"/>
          <w:highlight w:val="red"/>
        </w:rPr>
      </w:pPr>
      <w:r>
        <w:rPr>
          <w:rFonts w:hint="eastAsia" w:ascii="宋体" w:hAnsi="宋体" w:cs="宋体"/>
          <w:b/>
          <w:bCs/>
          <w:color w:val="auto"/>
          <w:sz w:val="24"/>
          <w:highlight w:val="none"/>
        </w:rPr>
        <w:t>★四</w:t>
      </w:r>
      <w:r>
        <w:rPr>
          <w:rFonts w:hint="eastAsia" w:ascii="宋体" w:hAnsi="宋体" w:cs="宋体"/>
          <w:b/>
          <w:bCs/>
          <w:color w:val="auto"/>
          <w:sz w:val="24"/>
        </w:rPr>
        <w:t>、商务要求</w:t>
      </w:r>
      <w:r>
        <w:rPr>
          <w:rFonts w:hint="eastAsia" w:ascii="宋体" w:hAnsi="宋体" w:eastAsia="宋体" w:cs="宋体"/>
          <w:b/>
          <w:bCs/>
          <w:color w:val="auto"/>
          <w:sz w:val="24"/>
          <w:lang w:eastAsia="zh-CN"/>
        </w:rPr>
        <w:t>（实质性要求）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65"/>
        <w:gridCol w:w="1134"/>
        <w:gridCol w:w="5752"/>
      </w:tblGrid>
      <w:tr w14:paraId="7B68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5E7F42">
            <w:pPr>
              <w:widowControl/>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2165" w:type="dxa"/>
            <w:noWrap w:val="0"/>
            <w:vAlign w:val="center"/>
          </w:tcPr>
          <w:p w14:paraId="47F57181">
            <w:pPr>
              <w:widowControl/>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内容</w:t>
            </w:r>
          </w:p>
        </w:tc>
        <w:tc>
          <w:tcPr>
            <w:tcW w:w="6886" w:type="dxa"/>
            <w:gridSpan w:val="2"/>
            <w:noWrap w:val="0"/>
            <w:vAlign w:val="center"/>
          </w:tcPr>
          <w:p w14:paraId="1C39256D">
            <w:pPr>
              <w:widowControl/>
              <w:spacing w:line="360" w:lineRule="exact"/>
              <w:jc w:val="center"/>
              <w:rPr>
                <w:rFonts w:ascii="宋体" w:hAnsi="宋体" w:eastAsia="宋体" w:cs="宋体"/>
                <w:color w:val="auto"/>
                <w:sz w:val="21"/>
                <w:szCs w:val="21"/>
              </w:rPr>
            </w:pPr>
            <w:r>
              <w:rPr>
                <w:rFonts w:hint="eastAsia" w:ascii="宋体" w:hAnsi="宋体" w:eastAsia="宋体" w:cs="宋体"/>
                <w:color w:val="auto"/>
                <w:sz w:val="21"/>
                <w:szCs w:val="21"/>
              </w:rPr>
              <w:t>具体要求</w:t>
            </w:r>
          </w:p>
        </w:tc>
      </w:tr>
      <w:tr w14:paraId="685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016A44">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p>
        </w:tc>
        <w:tc>
          <w:tcPr>
            <w:tcW w:w="2165" w:type="dxa"/>
            <w:noWrap w:val="0"/>
            <w:vAlign w:val="center"/>
          </w:tcPr>
          <w:p w14:paraId="6BE607C1">
            <w:pPr>
              <w:adjustRightInd w:val="0"/>
              <w:spacing w:line="50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服务期限</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合同履约期限</w:t>
            </w:r>
            <w:r>
              <w:rPr>
                <w:rFonts w:hint="eastAsia" w:ascii="宋体" w:hAnsi="宋体" w:eastAsia="宋体" w:cs="宋体"/>
                <w:color w:val="auto"/>
                <w:kern w:val="0"/>
                <w:sz w:val="21"/>
                <w:szCs w:val="21"/>
                <w:lang w:val="zh-CN"/>
              </w:rPr>
              <w:t>）</w:t>
            </w:r>
          </w:p>
          <w:p w14:paraId="1362604D">
            <w:pPr>
              <w:adjustRightInd w:val="0"/>
              <w:spacing w:line="500" w:lineRule="exact"/>
              <w:jc w:val="center"/>
              <w:rPr>
                <w:rFonts w:ascii="宋体" w:hAnsi="宋体" w:eastAsia="宋体" w:cs="宋体"/>
                <w:color w:val="auto"/>
                <w:kern w:val="0"/>
                <w:sz w:val="21"/>
                <w:szCs w:val="21"/>
                <w:lang w:val="zh-CN"/>
              </w:rPr>
            </w:pPr>
          </w:p>
        </w:tc>
        <w:tc>
          <w:tcPr>
            <w:tcW w:w="6886" w:type="dxa"/>
            <w:gridSpan w:val="2"/>
            <w:noWrap w:val="0"/>
            <w:vAlign w:val="center"/>
          </w:tcPr>
          <w:p w14:paraId="31AFBC03">
            <w:pPr>
              <w:adjustRightInd w:val="0"/>
              <w:spacing w:line="500" w:lineRule="exact"/>
              <w:rPr>
                <w:rFonts w:ascii="宋体" w:hAnsi="宋体" w:eastAsia="宋体" w:cs="宋体"/>
                <w:color w:val="auto"/>
                <w:sz w:val="21"/>
                <w:szCs w:val="21"/>
              </w:rPr>
            </w:pPr>
            <w:r>
              <w:rPr>
                <w:rFonts w:hint="eastAsia" w:ascii="宋体" w:hAnsi="宋体" w:eastAsia="宋体" w:cs="宋体"/>
                <w:color w:val="auto"/>
                <w:sz w:val="21"/>
                <w:szCs w:val="21"/>
              </w:rPr>
              <w:t>自合同签订生效之日起至下一轮基建维修全过程控制服务采购中标单位合同签订之日前一日止，或结算总金额达到采购预算为止（以两种情况中先达到的时间节点为本项目服务期限）。</w:t>
            </w:r>
          </w:p>
        </w:tc>
      </w:tr>
      <w:tr w14:paraId="1898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0227E5CF">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w:t>
            </w:r>
          </w:p>
        </w:tc>
        <w:tc>
          <w:tcPr>
            <w:tcW w:w="2165" w:type="dxa"/>
            <w:noWrap w:val="0"/>
            <w:vAlign w:val="center"/>
          </w:tcPr>
          <w:p w14:paraId="44872AC6">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服务</w:t>
            </w:r>
            <w:r>
              <w:rPr>
                <w:rFonts w:hint="eastAsia" w:ascii="宋体" w:hAnsi="宋体" w:eastAsia="宋体" w:cs="宋体"/>
                <w:color w:val="auto"/>
                <w:kern w:val="0"/>
                <w:sz w:val="21"/>
                <w:szCs w:val="21"/>
                <w:lang w:val="zh-CN"/>
              </w:rPr>
              <w:t>地点</w:t>
            </w:r>
          </w:p>
        </w:tc>
        <w:tc>
          <w:tcPr>
            <w:tcW w:w="6886" w:type="dxa"/>
            <w:gridSpan w:val="2"/>
            <w:noWrap w:val="0"/>
            <w:vAlign w:val="center"/>
          </w:tcPr>
          <w:p w14:paraId="05295610">
            <w:pPr>
              <w:spacing w:line="360" w:lineRule="auto"/>
              <w:rPr>
                <w:rFonts w:ascii="宋体" w:hAnsi="宋体" w:eastAsia="宋体" w:cs="宋体"/>
                <w:bCs/>
                <w:color w:val="auto"/>
                <w:spacing w:val="8"/>
                <w:sz w:val="21"/>
                <w:szCs w:val="21"/>
              </w:rPr>
            </w:pPr>
            <w:r>
              <w:rPr>
                <w:rFonts w:hint="eastAsia" w:ascii="宋体" w:hAnsi="宋体" w:eastAsia="宋体" w:cs="宋体"/>
                <w:color w:val="auto"/>
                <w:sz w:val="21"/>
                <w:szCs w:val="21"/>
              </w:rPr>
              <w:t>采购人指定位置</w:t>
            </w:r>
          </w:p>
        </w:tc>
      </w:tr>
      <w:tr w14:paraId="3C9B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54107797">
            <w:pPr>
              <w:adjustRightInd w:val="0"/>
              <w:spacing w:line="3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165" w:type="dxa"/>
            <w:noWrap w:val="0"/>
            <w:vAlign w:val="center"/>
          </w:tcPr>
          <w:p w14:paraId="7D1C58B2">
            <w:pPr>
              <w:adjustRightInd w:val="0"/>
              <w:spacing w:line="360" w:lineRule="auto"/>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履约保证金</w:t>
            </w:r>
          </w:p>
        </w:tc>
        <w:tc>
          <w:tcPr>
            <w:tcW w:w="6886" w:type="dxa"/>
            <w:gridSpan w:val="2"/>
            <w:noWrap w:val="0"/>
            <w:vAlign w:val="center"/>
          </w:tcPr>
          <w:p w14:paraId="20CEF594">
            <w:pPr>
              <w:spacing w:line="360" w:lineRule="auto"/>
              <w:rPr>
                <w:rFonts w:ascii="宋体" w:hAnsi="宋体" w:eastAsia="宋体" w:cs="宋体"/>
                <w:b/>
                <w:color w:val="auto"/>
                <w:sz w:val="21"/>
                <w:szCs w:val="21"/>
              </w:rPr>
            </w:pPr>
            <w:r>
              <w:rPr>
                <w:rFonts w:hint="eastAsia" w:ascii="宋体" w:hAnsi="宋体" w:eastAsia="宋体" w:cs="宋体"/>
                <w:color w:val="auto"/>
                <w:sz w:val="21"/>
                <w:szCs w:val="21"/>
              </w:rPr>
              <w:t>不收取履约保证金</w:t>
            </w:r>
          </w:p>
        </w:tc>
      </w:tr>
      <w:tr w14:paraId="7A37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noWrap w:val="0"/>
            <w:vAlign w:val="center"/>
          </w:tcPr>
          <w:p w14:paraId="5A79F97D">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4</w:t>
            </w:r>
          </w:p>
        </w:tc>
        <w:tc>
          <w:tcPr>
            <w:tcW w:w="2165" w:type="dxa"/>
            <w:vMerge w:val="restart"/>
            <w:noWrap w:val="0"/>
            <w:vAlign w:val="center"/>
          </w:tcPr>
          <w:p w14:paraId="2E91ACF0">
            <w:pPr>
              <w:adjustRightInd w:val="0"/>
              <w:spacing w:line="6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zh-CN"/>
              </w:rPr>
              <w:t>履约验收</w:t>
            </w:r>
            <w:r>
              <w:rPr>
                <w:rFonts w:hint="eastAsia" w:ascii="宋体" w:hAnsi="宋体" w:eastAsia="宋体" w:cs="宋体"/>
                <w:color w:val="auto"/>
                <w:kern w:val="0"/>
                <w:sz w:val="21"/>
                <w:szCs w:val="21"/>
              </w:rPr>
              <w:t>方案</w:t>
            </w:r>
          </w:p>
        </w:tc>
        <w:tc>
          <w:tcPr>
            <w:tcW w:w="1134" w:type="dxa"/>
            <w:noWrap w:val="0"/>
            <w:vAlign w:val="center"/>
          </w:tcPr>
          <w:p w14:paraId="2A89FC5E">
            <w:pPr>
              <w:spacing w:line="360" w:lineRule="auto"/>
              <w:jc w:val="center"/>
              <w:rPr>
                <w:rFonts w:ascii="宋体" w:hAnsi="宋体" w:eastAsia="宋体" w:cs="宋体"/>
                <w:color w:val="auto"/>
                <w:kern w:val="21"/>
                <w:sz w:val="21"/>
                <w:szCs w:val="21"/>
                <w:lang w:val="zh-CN"/>
              </w:rPr>
            </w:pPr>
            <w:r>
              <w:rPr>
                <w:rFonts w:hint="eastAsia" w:ascii="宋体" w:hAnsi="宋体" w:eastAsia="宋体" w:cs="宋体"/>
                <w:color w:val="auto"/>
                <w:kern w:val="0"/>
                <w:sz w:val="21"/>
                <w:szCs w:val="21"/>
                <w:lang w:val="zh-CN"/>
              </w:rPr>
              <w:t>验收交付标准和方法</w:t>
            </w:r>
          </w:p>
        </w:tc>
        <w:tc>
          <w:tcPr>
            <w:tcW w:w="5752" w:type="dxa"/>
            <w:noWrap w:val="0"/>
            <w:vAlign w:val="center"/>
          </w:tcPr>
          <w:p w14:paraId="625DF5B0">
            <w:pPr>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第一，成交（中标）供应商须在合同约定的服务期限内完成采购人委托的相关服务后，及时向采购人交付已完成服务明细清单。</w:t>
            </w:r>
          </w:p>
          <w:p w14:paraId="36E49EEE">
            <w:pPr>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第二，成交（中标）供应商提供的所有服务须权属清楚，不得侵害他人的知识产权，且符合国家（行业）最新标准、本项目合同条款以及技术服务协议的有关要求。</w:t>
            </w:r>
          </w:p>
          <w:p w14:paraId="73370AD7">
            <w:pPr>
              <w:adjustRightInd w:val="0"/>
              <w:spacing w:line="360" w:lineRule="auto"/>
              <w:rPr>
                <w:rFonts w:ascii="宋体" w:hAnsi="宋体" w:eastAsia="宋体" w:cs="宋体"/>
                <w:color w:val="auto"/>
                <w:kern w:val="21"/>
                <w:sz w:val="21"/>
                <w:szCs w:val="21"/>
                <w:lang w:val="zh-CN"/>
              </w:rPr>
            </w:pPr>
            <w:r>
              <w:rPr>
                <w:rFonts w:hint="eastAsia" w:ascii="宋体" w:hAnsi="宋体" w:eastAsia="宋体" w:cs="宋体"/>
                <w:color w:val="auto"/>
                <w:sz w:val="21"/>
                <w:szCs w:val="21"/>
              </w:rPr>
              <w:t>第三，成交（中标）供应商服务完成交付后至采购人自行组织的履约验收前，若服务出现质量问题的，成交（中标）供应商应提供“三包”服务（包修、包换、包退），相关费用以及在此过程中造成的所有安全责任，由成交（中标）供应商自行承担。</w:t>
            </w:r>
          </w:p>
        </w:tc>
      </w:tr>
      <w:tr w14:paraId="7F5D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6B8B60FD">
            <w:pPr>
              <w:spacing w:line="360" w:lineRule="auto"/>
              <w:rPr>
                <w:rFonts w:ascii="宋体" w:hAnsi="宋体" w:eastAsia="宋体" w:cs="宋体"/>
                <w:color w:val="auto"/>
                <w:sz w:val="21"/>
                <w:szCs w:val="21"/>
              </w:rPr>
            </w:pPr>
          </w:p>
        </w:tc>
        <w:tc>
          <w:tcPr>
            <w:tcW w:w="2165" w:type="dxa"/>
            <w:vMerge w:val="continue"/>
            <w:noWrap w:val="0"/>
            <w:vAlign w:val="center"/>
          </w:tcPr>
          <w:p w14:paraId="5652C9A7">
            <w:pPr>
              <w:spacing w:line="360" w:lineRule="auto"/>
              <w:rPr>
                <w:rFonts w:ascii="宋体" w:hAnsi="宋体" w:eastAsia="宋体" w:cs="宋体"/>
                <w:color w:val="auto"/>
                <w:sz w:val="21"/>
                <w:szCs w:val="21"/>
              </w:rPr>
            </w:pPr>
          </w:p>
        </w:tc>
        <w:tc>
          <w:tcPr>
            <w:tcW w:w="1134" w:type="dxa"/>
            <w:noWrap w:val="0"/>
            <w:vAlign w:val="center"/>
          </w:tcPr>
          <w:p w14:paraId="2E89843E">
            <w:pPr>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kern w:val="0"/>
                <w:sz w:val="21"/>
                <w:szCs w:val="21"/>
              </w:rPr>
              <w:t>验收组织方式</w:t>
            </w:r>
          </w:p>
        </w:tc>
        <w:tc>
          <w:tcPr>
            <w:tcW w:w="5752" w:type="dxa"/>
            <w:noWrap w:val="0"/>
            <w:vAlign w:val="center"/>
          </w:tcPr>
          <w:p w14:paraId="13BAD72B">
            <w:pPr>
              <w:adjustRightInd w:val="0"/>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自行验收（采购人自行组织的履约验收不邀请非成交（中标）供应商、服务对象、第三方检测机构等参与，任何供应商以及采购相关当事人不得干涉采购人自行验收权利、不得要求采购人变更验收方式）。</w:t>
            </w:r>
          </w:p>
        </w:tc>
      </w:tr>
      <w:tr w14:paraId="3995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61896319">
            <w:pPr>
              <w:spacing w:line="360" w:lineRule="auto"/>
              <w:rPr>
                <w:rFonts w:ascii="宋体" w:hAnsi="宋体" w:eastAsia="宋体" w:cs="宋体"/>
                <w:color w:val="auto"/>
                <w:sz w:val="21"/>
                <w:szCs w:val="21"/>
              </w:rPr>
            </w:pPr>
          </w:p>
        </w:tc>
        <w:tc>
          <w:tcPr>
            <w:tcW w:w="2165" w:type="dxa"/>
            <w:vMerge w:val="continue"/>
            <w:noWrap w:val="0"/>
            <w:vAlign w:val="center"/>
          </w:tcPr>
          <w:p w14:paraId="6BAD0EE5">
            <w:pPr>
              <w:spacing w:line="360" w:lineRule="auto"/>
              <w:rPr>
                <w:rFonts w:ascii="宋体" w:hAnsi="宋体" w:eastAsia="宋体" w:cs="宋体"/>
                <w:color w:val="auto"/>
                <w:sz w:val="21"/>
                <w:szCs w:val="21"/>
              </w:rPr>
            </w:pPr>
          </w:p>
        </w:tc>
        <w:tc>
          <w:tcPr>
            <w:tcW w:w="1134" w:type="dxa"/>
            <w:noWrap w:val="0"/>
            <w:vAlign w:val="center"/>
          </w:tcPr>
          <w:p w14:paraId="4B2614EE">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履约验收程序与时间</w:t>
            </w:r>
          </w:p>
          <w:p w14:paraId="21E84179">
            <w:pPr>
              <w:spacing w:line="360" w:lineRule="auto"/>
              <w:jc w:val="center"/>
              <w:rPr>
                <w:rFonts w:ascii="宋体" w:hAnsi="宋体" w:eastAsia="宋体" w:cs="宋体"/>
                <w:color w:val="auto"/>
                <w:sz w:val="21"/>
                <w:szCs w:val="21"/>
              </w:rPr>
            </w:pPr>
          </w:p>
        </w:tc>
        <w:tc>
          <w:tcPr>
            <w:tcW w:w="5752" w:type="dxa"/>
            <w:noWrap w:val="0"/>
            <w:vAlign w:val="center"/>
          </w:tcPr>
          <w:p w14:paraId="1DB20B5B">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第一，验收程序：分段（分期）验收。</w:t>
            </w:r>
          </w:p>
          <w:p w14:paraId="6C87389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第二，验收条件：成交（中标）供应商须依据本项目合同条款、技术服务协议完成每个项目服务后，分别向采购人提出该项目服务履约验收申请。</w:t>
            </w:r>
          </w:p>
          <w:p w14:paraId="15F038CF">
            <w:pPr>
              <w:spacing w:line="360" w:lineRule="auto"/>
              <w:rPr>
                <w:rFonts w:ascii="宋体" w:hAnsi="宋体" w:eastAsia="宋体" w:cs="宋体"/>
                <w:color w:val="auto"/>
                <w:sz w:val="21"/>
                <w:szCs w:val="21"/>
                <w:highlight w:val="red"/>
              </w:rPr>
            </w:pPr>
            <w:r>
              <w:rPr>
                <w:rFonts w:hint="eastAsia" w:ascii="宋体" w:hAnsi="宋体" w:eastAsia="宋体" w:cs="宋体"/>
                <w:color w:val="auto"/>
                <w:sz w:val="21"/>
                <w:szCs w:val="21"/>
              </w:rPr>
              <w:t>第三，验收时间：采购人在收到成交（中标）供应商提出的阶段履约验收申请后</w:t>
            </w: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rPr>
              <w:t>5个日历</w:t>
            </w:r>
            <w:r>
              <w:rPr>
                <w:rFonts w:hint="eastAsia" w:ascii="宋体" w:hAnsi="宋体" w:eastAsia="宋体" w:cs="宋体"/>
                <w:color w:val="auto"/>
                <w:sz w:val="21"/>
                <w:szCs w:val="21"/>
              </w:rPr>
              <w:t>日内自行组织该阶段验收。</w:t>
            </w:r>
          </w:p>
        </w:tc>
      </w:tr>
      <w:tr w14:paraId="3224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31C59F61">
            <w:pPr>
              <w:adjustRightInd w:val="0"/>
              <w:spacing w:line="360" w:lineRule="auto"/>
              <w:rPr>
                <w:rFonts w:ascii="宋体" w:hAnsi="宋体" w:eastAsia="宋体" w:cs="宋体"/>
                <w:color w:val="auto"/>
                <w:sz w:val="21"/>
                <w:szCs w:val="21"/>
              </w:rPr>
            </w:pPr>
          </w:p>
        </w:tc>
        <w:tc>
          <w:tcPr>
            <w:tcW w:w="2165" w:type="dxa"/>
            <w:vMerge w:val="continue"/>
            <w:noWrap w:val="0"/>
            <w:vAlign w:val="center"/>
          </w:tcPr>
          <w:p w14:paraId="6084DFDE">
            <w:pPr>
              <w:adjustRightInd w:val="0"/>
              <w:spacing w:line="360" w:lineRule="auto"/>
              <w:rPr>
                <w:rFonts w:ascii="宋体" w:hAnsi="宋体" w:eastAsia="宋体" w:cs="宋体"/>
                <w:color w:val="auto"/>
                <w:sz w:val="21"/>
                <w:szCs w:val="21"/>
              </w:rPr>
            </w:pPr>
          </w:p>
        </w:tc>
        <w:tc>
          <w:tcPr>
            <w:tcW w:w="1134" w:type="dxa"/>
            <w:noWrap w:val="0"/>
            <w:vAlign w:val="center"/>
          </w:tcPr>
          <w:p w14:paraId="5B478D8B">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验收组织的其他事项</w:t>
            </w:r>
          </w:p>
          <w:p w14:paraId="41490890">
            <w:pPr>
              <w:adjustRightInd w:val="0"/>
              <w:spacing w:line="360" w:lineRule="auto"/>
              <w:rPr>
                <w:rFonts w:ascii="宋体" w:hAnsi="宋体" w:eastAsia="宋体" w:cs="宋体"/>
                <w:color w:val="auto"/>
                <w:sz w:val="21"/>
                <w:szCs w:val="21"/>
              </w:rPr>
            </w:pPr>
          </w:p>
        </w:tc>
        <w:tc>
          <w:tcPr>
            <w:tcW w:w="5752" w:type="dxa"/>
            <w:noWrap w:val="0"/>
            <w:vAlign w:val="center"/>
          </w:tcPr>
          <w:p w14:paraId="66739E2F">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第一，若因故推迟验收的，采购人应及时通知成交（中标）供应商变更的具体时间，但原则上不超过成交（中标）供应商向采购人提出履约验收申请后</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0</w:t>
            </w:r>
            <w:r>
              <w:rPr>
                <w:rFonts w:hint="eastAsia" w:ascii="宋体" w:hAnsi="宋体" w:eastAsia="宋体" w:cs="宋体"/>
                <w:color w:val="auto"/>
                <w:kern w:val="0"/>
                <w:sz w:val="21"/>
                <w:szCs w:val="21"/>
              </w:rPr>
              <w:t>个日历</w:t>
            </w:r>
            <w:r>
              <w:rPr>
                <w:rFonts w:hint="eastAsia" w:ascii="宋体" w:hAnsi="宋体" w:eastAsia="宋体" w:cs="宋体"/>
                <w:color w:val="auto"/>
                <w:sz w:val="21"/>
                <w:szCs w:val="21"/>
              </w:rPr>
              <w:t>日内完成首次履约验收。</w:t>
            </w:r>
          </w:p>
          <w:p w14:paraId="7D020873">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第二，在合同履约期限内，每个阶段执行一次性验收，即采购人针对该阶段验收不合格的</w:t>
            </w:r>
            <w:r>
              <w:rPr>
                <w:rFonts w:hint="eastAsia" w:ascii="宋体" w:hAnsi="宋体" w:eastAsia="宋体" w:cs="宋体"/>
                <w:color w:val="auto"/>
                <w:kern w:val="0"/>
                <w:sz w:val="21"/>
                <w:szCs w:val="21"/>
              </w:rPr>
              <w:t>服务</w:t>
            </w:r>
            <w:r>
              <w:rPr>
                <w:rFonts w:hint="eastAsia" w:ascii="宋体" w:hAnsi="宋体" w:eastAsia="宋体" w:cs="宋体"/>
                <w:color w:val="auto"/>
                <w:sz w:val="21"/>
                <w:szCs w:val="21"/>
              </w:rPr>
              <w:t>，不再另行组织验收，但成交（中标）供应商须向采购人提交书面整改书并据此为采购人提供下一阶段服务。</w:t>
            </w:r>
          </w:p>
          <w:p w14:paraId="0C29D297">
            <w:pPr>
              <w:spacing w:line="360" w:lineRule="auto"/>
              <w:jc w:val="left"/>
              <w:rPr>
                <w:rFonts w:ascii="宋体" w:hAnsi="宋体" w:eastAsia="宋体" w:cs="宋体"/>
                <w:color w:val="auto"/>
                <w:sz w:val="21"/>
                <w:szCs w:val="21"/>
              </w:rPr>
            </w:pPr>
            <w:r>
              <w:rPr>
                <w:rFonts w:hint="eastAsia" w:ascii="宋体" w:hAnsi="宋体" w:eastAsia="宋体" w:cs="宋体"/>
                <w:color w:val="auto"/>
                <w:sz w:val="21"/>
                <w:szCs w:val="21"/>
              </w:rPr>
              <w:t>第三，若在合同履约期限内出现2次（即2个阶段）成交（中标）供应商提供的服务不能达到采购合同和技术服务协议约定的质量标准（或者不符合国家最新强制性标准的），采购人将视成交（中标）供应商本项目履约验收结果不合格。</w:t>
            </w:r>
          </w:p>
          <w:p w14:paraId="32F61A57">
            <w:pPr>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第四，分段验收时，若出现成交（中标）供应商交付的部分服务要求实际情况的符合性无法查实时，采购人有权要求成交（中标）供应商在双方约定的时间内提供针对该部分服务要求的、由第三方检测机构出具、可查询的检测报告，以此作为采购人履约验收的主要依据之一，但费用由成交（中标）供应商自行承担。若成交（中标）供应商拒绝或者未在双方约定时间提供符合要求的检测报告的或者提供的检测报告依然无法查实服务要求符合性的，应按照商务要求中“解决争议事项”办法处置。</w:t>
            </w:r>
          </w:p>
        </w:tc>
      </w:tr>
      <w:tr w14:paraId="7C6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277713C5">
            <w:pPr>
              <w:spacing w:line="360" w:lineRule="auto"/>
              <w:rPr>
                <w:rFonts w:ascii="宋体" w:hAnsi="宋体" w:eastAsia="宋体" w:cs="宋体"/>
                <w:color w:val="auto"/>
                <w:sz w:val="21"/>
                <w:szCs w:val="21"/>
              </w:rPr>
            </w:pPr>
          </w:p>
        </w:tc>
        <w:tc>
          <w:tcPr>
            <w:tcW w:w="2165" w:type="dxa"/>
            <w:vMerge w:val="continue"/>
            <w:noWrap w:val="0"/>
            <w:vAlign w:val="center"/>
          </w:tcPr>
          <w:p w14:paraId="0118AB84">
            <w:pPr>
              <w:spacing w:line="360" w:lineRule="auto"/>
              <w:rPr>
                <w:rFonts w:ascii="宋体" w:hAnsi="宋体" w:eastAsia="宋体" w:cs="宋体"/>
                <w:color w:val="auto"/>
                <w:sz w:val="21"/>
                <w:szCs w:val="21"/>
              </w:rPr>
            </w:pPr>
          </w:p>
        </w:tc>
        <w:tc>
          <w:tcPr>
            <w:tcW w:w="1134" w:type="dxa"/>
            <w:noWrap w:val="0"/>
            <w:vAlign w:val="center"/>
          </w:tcPr>
          <w:p w14:paraId="10A4B690">
            <w:pPr>
              <w:spacing w:line="360" w:lineRule="auto"/>
              <w:jc w:val="center"/>
              <w:rPr>
                <w:rFonts w:ascii="宋体" w:hAnsi="宋体" w:eastAsia="宋体" w:cs="宋体"/>
                <w:color w:val="auto"/>
                <w:sz w:val="21"/>
                <w:szCs w:val="21"/>
              </w:rPr>
            </w:pPr>
            <w:r>
              <w:rPr>
                <w:rFonts w:hint="eastAsia" w:ascii="宋体" w:hAnsi="宋体" w:eastAsia="宋体" w:cs="宋体"/>
                <w:color w:val="auto"/>
                <w:kern w:val="0"/>
                <w:sz w:val="21"/>
                <w:szCs w:val="21"/>
              </w:rPr>
              <w:t>技术履约验收内容</w:t>
            </w:r>
          </w:p>
        </w:tc>
        <w:tc>
          <w:tcPr>
            <w:tcW w:w="5752" w:type="dxa"/>
            <w:noWrap w:val="0"/>
            <w:vAlign w:val="center"/>
          </w:tcPr>
          <w:p w14:paraId="05A85468">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成交（中标）供应商交付</w:t>
            </w:r>
            <w:r>
              <w:rPr>
                <w:rFonts w:hint="eastAsia" w:ascii="宋体" w:hAnsi="宋体" w:eastAsia="宋体" w:cs="宋体"/>
                <w:color w:val="auto"/>
                <w:kern w:val="0"/>
                <w:sz w:val="21"/>
                <w:szCs w:val="21"/>
              </w:rPr>
              <w:t>服务涉及的响应服务内容实际值与</w:t>
            </w:r>
            <w:r>
              <w:rPr>
                <w:rFonts w:hint="eastAsia" w:ascii="宋体" w:hAnsi="宋体" w:eastAsia="宋体" w:cs="宋体"/>
                <w:color w:val="auto"/>
                <w:sz w:val="21"/>
                <w:szCs w:val="21"/>
              </w:rPr>
              <w:t>本项目合同条款、技术服务协议、采购文件要求以及成交（中标）供应商响应（投标）文件</w:t>
            </w:r>
            <w:r>
              <w:rPr>
                <w:rFonts w:hint="eastAsia" w:ascii="宋体" w:hAnsi="宋体" w:eastAsia="宋体" w:cs="宋体"/>
                <w:color w:val="auto"/>
                <w:kern w:val="0"/>
                <w:sz w:val="21"/>
                <w:szCs w:val="21"/>
              </w:rPr>
              <w:t>（投标产品技术参数表或服务内容）</w:t>
            </w:r>
            <w:r>
              <w:rPr>
                <w:rFonts w:hint="eastAsia" w:ascii="宋体" w:hAnsi="宋体" w:eastAsia="宋体" w:cs="宋体"/>
                <w:color w:val="auto"/>
                <w:sz w:val="21"/>
                <w:szCs w:val="21"/>
              </w:rPr>
              <w:t>及承诺内容的符合性。</w:t>
            </w:r>
          </w:p>
        </w:tc>
      </w:tr>
      <w:tr w14:paraId="10F7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33BDB227">
            <w:pPr>
              <w:spacing w:line="360" w:lineRule="auto"/>
              <w:jc w:val="center"/>
              <w:rPr>
                <w:rFonts w:ascii="宋体" w:hAnsi="宋体" w:eastAsia="宋体" w:cs="宋体"/>
                <w:color w:val="auto"/>
                <w:sz w:val="21"/>
                <w:szCs w:val="21"/>
              </w:rPr>
            </w:pPr>
          </w:p>
        </w:tc>
        <w:tc>
          <w:tcPr>
            <w:tcW w:w="2165" w:type="dxa"/>
            <w:vMerge w:val="continue"/>
            <w:noWrap w:val="0"/>
            <w:vAlign w:val="center"/>
          </w:tcPr>
          <w:p w14:paraId="30E05508">
            <w:pPr>
              <w:spacing w:line="360" w:lineRule="auto"/>
              <w:jc w:val="center"/>
              <w:rPr>
                <w:rFonts w:ascii="宋体" w:hAnsi="宋体" w:eastAsia="宋体" w:cs="宋体"/>
                <w:color w:val="auto"/>
                <w:sz w:val="21"/>
                <w:szCs w:val="21"/>
              </w:rPr>
            </w:pPr>
          </w:p>
        </w:tc>
        <w:tc>
          <w:tcPr>
            <w:tcW w:w="1134" w:type="dxa"/>
            <w:noWrap w:val="0"/>
            <w:vAlign w:val="center"/>
          </w:tcPr>
          <w:p w14:paraId="0D5389A5">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商务履约验收内容</w:t>
            </w:r>
          </w:p>
        </w:tc>
        <w:tc>
          <w:tcPr>
            <w:tcW w:w="5752" w:type="dxa"/>
            <w:noWrap w:val="0"/>
            <w:vAlign w:val="center"/>
          </w:tcPr>
          <w:p w14:paraId="661F4B38">
            <w:pPr>
              <w:spacing w:line="360" w:lineRule="auto"/>
              <w:rPr>
                <w:rFonts w:ascii="宋体" w:hAnsi="宋体" w:eastAsia="宋体" w:cs="宋体"/>
                <w:color w:val="auto"/>
                <w:kern w:val="0"/>
                <w:sz w:val="21"/>
                <w:szCs w:val="21"/>
              </w:rPr>
            </w:pPr>
            <w:r>
              <w:rPr>
                <w:rFonts w:hint="eastAsia" w:ascii="宋体" w:hAnsi="宋体" w:eastAsia="宋体" w:cs="宋体"/>
                <w:color w:val="auto"/>
                <w:sz w:val="21"/>
                <w:szCs w:val="21"/>
              </w:rPr>
              <w:t>成交（中标）供应商的履约过程</w:t>
            </w:r>
            <w:r>
              <w:rPr>
                <w:rFonts w:hint="eastAsia" w:ascii="宋体" w:hAnsi="宋体" w:eastAsia="宋体" w:cs="宋体"/>
                <w:color w:val="auto"/>
                <w:kern w:val="0"/>
                <w:sz w:val="21"/>
                <w:szCs w:val="21"/>
              </w:rPr>
              <w:t>与</w:t>
            </w:r>
            <w:r>
              <w:rPr>
                <w:rFonts w:hint="eastAsia" w:ascii="宋体" w:hAnsi="宋体" w:eastAsia="宋体" w:cs="宋体"/>
                <w:color w:val="auto"/>
                <w:sz w:val="21"/>
                <w:szCs w:val="21"/>
              </w:rPr>
              <w:t>本项目合同条款、技术服务协议、采购文件要求以及成交（中标）供应商响应（投标）文件</w:t>
            </w:r>
            <w:r>
              <w:rPr>
                <w:rFonts w:hint="eastAsia" w:ascii="宋体" w:hAnsi="宋体" w:eastAsia="宋体" w:cs="宋体"/>
                <w:color w:val="auto"/>
                <w:kern w:val="0"/>
                <w:sz w:val="21"/>
                <w:szCs w:val="21"/>
              </w:rPr>
              <w:t>（商务应答表）</w:t>
            </w:r>
            <w:r>
              <w:rPr>
                <w:rFonts w:hint="eastAsia" w:ascii="宋体" w:hAnsi="宋体" w:eastAsia="宋体" w:cs="宋体"/>
                <w:color w:val="auto"/>
                <w:sz w:val="21"/>
                <w:szCs w:val="21"/>
              </w:rPr>
              <w:t>及承诺内容的符合性。</w:t>
            </w:r>
          </w:p>
        </w:tc>
      </w:tr>
      <w:tr w14:paraId="12E0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4A659736">
            <w:pPr>
              <w:spacing w:line="360" w:lineRule="auto"/>
              <w:jc w:val="center"/>
              <w:rPr>
                <w:rFonts w:ascii="宋体" w:hAnsi="宋体" w:eastAsia="宋体" w:cs="宋体"/>
                <w:color w:val="auto"/>
                <w:sz w:val="21"/>
                <w:szCs w:val="21"/>
              </w:rPr>
            </w:pPr>
          </w:p>
        </w:tc>
        <w:tc>
          <w:tcPr>
            <w:tcW w:w="2165" w:type="dxa"/>
            <w:vMerge w:val="continue"/>
            <w:noWrap w:val="0"/>
            <w:vAlign w:val="center"/>
          </w:tcPr>
          <w:p w14:paraId="422ADDC6">
            <w:pPr>
              <w:spacing w:line="360" w:lineRule="auto"/>
              <w:jc w:val="center"/>
              <w:rPr>
                <w:rFonts w:ascii="宋体" w:hAnsi="宋体" w:eastAsia="宋体" w:cs="宋体"/>
                <w:color w:val="auto"/>
                <w:sz w:val="21"/>
                <w:szCs w:val="21"/>
              </w:rPr>
            </w:pPr>
          </w:p>
        </w:tc>
        <w:tc>
          <w:tcPr>
            <w:tcW w:w="1134" w:type="dxa"/>
            <w:noWrap w:val="0"/>
            <w:vAlign w:val="center"/>
          </w:tcPr>
          <w:p w14:paraId="1769AD6B">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履约验收标准</w:t>
            </w:r>
          </w:p>
        </w:tc>
        <w:tc>
          <w:tcPr>
            <w:tcW w:w="5752" w:type="dxa"/>
            <w:noWrap w:val="0"/>
            <w:vAlign w:val="center"/>
          </w:tcPr>
          <w:p w14:paraId="346C3287">
            <w:pPr>
              <w:spacing w:line="360" w:lineRule="auto"/>
              <w:jc w:val="left"/>
              <w:rPr>
                <w:rFonts w:ascii="宋体" w:hAnsi="宋体" w:eastAsia="宋体" w:cs="宋体"/>
                <w:color w:val="auto"/>
                <w:kern w:val="0"/>
                <w:sz w:val="21"/>
                <w:szCs w:val="21"/>
              </w:rPr>
            </w:pPr>
            <w:r>
              <w:rPr>
                <w:rFonts w:hint="eastAsia" w:ascii="宋体" w:hAnsi="宋体" w:eastAsia="宋体" w:cs="宋体"/>
                <w:color w:val="auto"/>
                <w:sz w:val="21"/>
                <w:szCs w:val="21"/>
              </w:rPr>
              <w:t>采购人将依据《财政部关于进一步加强政府采购需求和履约验收管理的指导意见》（财库〔</w:t>
            </w:r>
            <w:r>
              <w:rPr>
                <w:rFonts w:hint="eastAsia" w:ascii="宋体" w:hAnsi="宋体" w:eastAsia="宋体" w:cs="宋体"/>
                <w:color w:val="auto"/>
                <w:kern w:val="0"/>
                <w:sz w:val="21"/>
                <w:szCs w:val="21"/>
                <w:lang w:val="zh-CN"/>
              </w:rPr>
              <w:t>2016</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205</w:t>
            </w:r>
            <w:r>
              <w:rPr>
                <w:rFonts w:hint="eastAsia" w:ascii="宋体" w:hAnsi="宋体" w:eastAsia="宋体" w:cs="宋体"/>
                <w:color w:val="auto"/>
                <w:sz w:val="21"/>
                <w:szCs w:val="21"/>
              </w:rPr>
              <w:t>号）、《西南科技大学货物、服务采购项目履约验收管理办法》（西南科大〔</w:t>
            </w:r>
            <w:r>
              <w:rPr>
                <w:rFonts w:hint="eastAsia" w:ascii="宋体" w:hAnsi="宋体" w:eastAsia="宋体" w:cs="宋体"/>
                <w:color w:val="auto"/>
                <w:kern w:val="0"/>
                <w:sz w:val="21"/>
                <w:szCs w:val="21"/>
                <w:lang w:val="zh-CN"/>
              </w:rPr>
              <w:t>20</w:t>
            </w:r>
            <w:r>
              <w:rPr>
                <w:rFonts w:hint="eastAsia" w:ascii="宋体" w:hAnsi="宋体" w:eastAsia="宋体" w:cs="宋体"/>
                <w:color w:val="auto"/>
                <w:kern w:val="0"/>
                <w:sz w:val="21"/>
                <w:szCs w:val="21"/>
              </w:rPr>
              <w:t>25</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2</w:t>
            </w:r>
            <w:r>
              <w:rPr>
                <w:rFonts w:hint="eastAsia" w:ascii="宋体" w:hAnsi="宋体" w:eastAsia="宋体" w:cs="宋体"/>
                <w:color w:val="auto"/>
                <w:sz w:val="21"/>
                <w:szCs w:val="21"/>
              </w:rPr>
              <w:t>号）的有关要求组织实施，并遵循本项目合同条款、技术服务协议、采购文件要求以及成交（中标）供应商响应（投标）文件及承诺内容自行组织验收。</w:t>
            </w:r>
          </w:p>
        </w:tc>
      </w:tr>
      <w:tr w14:paraId="28C6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7419D751">
            <w:pPr>
              <w:spacing w:line="360" w:lineRule="auto"/>
              <w:jc w:val="center"/>
              <w:rPr>
                <w:rFonts w:ascii="宋体" w:hAnsi="宋体" w:eastAsia="宋体" w:cs="宋体"/>
                <w:color w:val="auto"/>
                <w:sz w:val="21"/>
                <w:szCs w:val="21"/>
              </w:rPr>
            </w:pPr>
          </w:p>
        </w:tc>
        <w:tc>
          <w:tcPr>
            <w:tcW w:w="2165" w:type="dxa"/>
            <w:vMerge w:val="continue"/>
            <w:noWrap w:val="0"/>
            <w:vAlign w:val="center"/>
          </w:tcPr>
          <w:p w14:paraId="3DE36D68">
            <w:pPr>
              <w:spacing w:line="360" w:lineRule="auto"/>
              <w:jc w:val="center"/>
              <w:rPr>
                <w:rFonts w:ascii="宋体" w:hAnsi="宋体" w:eastAsia="宋体" w:cs="宋体"/>
                <w:color w:val="auto"/>
                <w:sz w:val="21"/>
                <w:szCs w:val="21"/>
              </w:rPr>
            </w:pPr>
          </w:p>
        </w:tc>
        <w:tc>
          <w:tcPr>
            <w:tcW w:w="1134" w:type="dxa"/>
            <w:noWrap w:val="0"/>
            <w:vAlign w:val="center"/>
          </w:tcPr>
          <w:p w14:paraId="2B208257">
            <w:pPr>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履约验收其他事项</w:t>
            </w:r>
          </w:p>
        </w:tc>
        <w:tc>
          <w:tcPr>
            <w:tcW w:w="5752" w:type="dxa"/>
            <w:noWrap w:val="0"/>
            <w:vAlign w:val="center"/>
          </w:tcPr>
          <w:p w14:paraId="7E04AE71">
            <w:pPr>
              <w:spacing w:line="360" w:lineRule="auto"/>
              <w:rPr>
                <w:rFonts w:ascii="宋体" w:hAnsi="宋体" w:eastAsia="宋体" w:cs="宋体"/>
                <w:color w:val="auto"/>
                <w:kern w:val="0"/>
                <w:sz w:val="21"/>
                <w:szCs w:val="21"/>
              </w:rPr>
            </w:pPr>
            <w:r>
              <w:rPr>
                <w:rFonts w:hint="eastAsia" w:ascii="宋体" w:hAnsi="宋体" w:eastAsia="宋体" w:cs="宋体"/>
                <w:color w:val="auto"/>
                <w:sz w:val="21"/>
                <w:szCs w:val="21"/>
              </w:rPr>
              <w:t>针对出现成交（中标）供应商履约验收结果不合格的情形，采购人将视情况采取以下措施，</w:t>
            </w:r>
            <w:r>
              <w:rPr>
                <w:rFonts w:hint="eastAsia" w:ascii="宋体" w:hAnsi="宋体" w:eastAsia="宋体" w:cs="宋体"/>
                <w:bCs/>
                <w:color w:val="auto"/>
                <w:sz w:val="21"/>
                <w:szCs w:val="21"/>
              </w:rPr>
              <w:t>并保留进一步</w:t>
            </w:r>
            <w:r>
              <w:rPr>
                <w:rFonts w:hint="eastAsia" w:ascii="宋体" w:hAnsi="宋体" w:eastAsia="宋体" w:cs="宋体"/>
                <w:color w:val="auto"/>
                <w:sz w:val="21"/>
                <w:szCs w:val="21"/>
              </w:rPr>
              <w:t>追究成交（中标）供应商全部违约责任的权利：（1）不予向成交（中标）供应商支付本项目合同约定的采购资金；（2）</w:t>
            </w:r>
            <w:r>
              <w:rPr>
                <w:rFonts w:hint="eastAsia" w:ascii="宋体" w:hAnsi="宋体" w:eastAsia="宋体" w:cs="宋体"/>
                <w:bCs/>
                <w:color w:val="auto"/>
                <w:sz w:val="21"/>
                <w:szCs w:val="21"/>
              </w:rPr>
              <w:t>不予</w:t>
            </w:r>
            <w:r>
              <w:rPr>
                <w:rFonts w:hint="eastAsia" w:ascii="宋体" w:hAnsi="宋体" w:eastAsia="宋体" w:cs="宋体"/>
                <w:color w:val="auto"/>
                <w:sz w:val="21"/>
                <w:szCs w:val="21"/>
              </w:rPr>
              <w:t>向成交（中标）供应商</w:t>
            </w:r>
            <w:r>
              <w:rPr>
                <w:rFonts w:hint="eastAsia" w:ascii="宋体" w:hAnsi="宋体" w:eastAsia="宋体" w:cs="宋体"/>
                <w:bCs/>
                <w:color w:val="auto"/>
                <w:sz w:val="21"/>
                <w:szCs w:val="21"/>
              </w:rPr>
              <w:t>退还本项目履约保证金（若涉及保函的，采购人将向出具保函的金融机构或担保机构申请索赔）；（3）视</w:t>
            </w:r>
            <w:r>
              <w:rPr>
                <w:rFonts w:hint="eastAsia" w:ascii="宋体" w:hAnsi="宋体" w:eastAsia="宋体" w:cs="宋体"/>
                <w:color w:val="auto"/>
                <w:sz w:val="21"/>
                <w:szCs w:val="21"/>
              </w:rPr>
              <w:t>成交（中标）供应商</w:t>
            </w:r>
            <w:r>
              <w:rPr>
                <w:rFonts w:hint="eastAsia" w:ascii="宋体" w:hAnsi="宋体" w:eastAsia="宋体" w:cs="宋体"/>
                <w:bCs/>
                <w:color w:val="auto"/>
                <w:sz w:val="21"/>
                <w:szCs w:val="21"/>
              </w:rPr>
              <w:t>提供虚假材料谋取成交（中标），采购人将依据本项目采购合同和技术服务协议、参照政府采购相关法律法规以及</w:t>
            </w:r>
            <w:r>
              <w:rPr>
                <w:rFonts w:hint="eastAsia" w:ascii="宋体" w:hAnsi="宋体" w:eastAsia="宋体" w:cs="宋体"/>
                <w:color w:val="auto"/>
                <w:kern w:val="21"/>
                <w:sz w:val="21"/>
                <w:szCs w:val="21"/>
              </w:rPr>
              <w:t>《四川省公共资源交易领域严重失信联合惩戒实施办法》（川发改信用规〔2019〕405号）等有关规定，</w:t>
            </w:r>
            <w:r>
              <w:rPr>
                <w:rFonts w:hint="eastAsia" w:ascii="宋体" w:hAnsi="宋体" w:eastAsia="宋体" w:cs="宋体"/>
                <w:bCs/>
                <w:color w:val="auto"/>
                <w:sz w:val="21"/>
                <w:szCs w:val="21"/>
              </w:rPr>
              <w:t>向本项目同级财政部门（或学校计划财务处）书面报告履约验收有关情况，对</w:t>
            </w:r>
            <w:r>
              <w:rPr>
                <w:rFonts w:hint="eastAsia" w:ascii="宋体" w:hAnsi="宋体" w:eastAsia="宋体" w:cs="宋体"/>
                <w:color w:val="auto"/>
                <w:sz w:val="21"/>
                <w:szCs w:val="21"/>
              </w:rPr>
              <w:t>成交（中标）供应商</w:t>
            </w:r>
            <w:r>
              <w:rPr>
                <w:rFonts w:hint="eastAsia" w:ascii="宋体" w:hAnsi="宋体" w:eastAsia="宋体" w:cs="宋体"/>
                <w:bCs/>
                <w:color w:val="auto"/>
                <w:sz w:val="21"/>
                <w:szCs w:val="21"/>
              </w:rPr>
              <w:t>依法进行惩戒和追究法律责任，同时会同有关部门将</w:t>
            </w:r>
            <w:r>
              <w:rPr>
                <w:rFonts w:hint="eastAsia" w:ascii="宋体" w:hAnsi="宋体" w:eastAsia="宋体" w:cs="宋体"/>
                <w:color w:val="auto"/>
                <w:sz w:val="21"/>
                <w:szCs w:val="21"/>
              </w:rPr>
              <w:t>成交（中标）供应商</w:t>
            </w:r>
            <w:r>
              <w:rPr>
                <w:rFonts w:hint="eastAsia" w:ascii="宋体" w:hAnsi="宋体" w:eastAsia="宋体" w:cs="宋体"/>
                <w:color w:val="auto"/>
                <w:kern w:val="21"/>
                <w:sz w:val="21"/>
                <w:szCs w:val="21"/>
              </w:rPr>
              <w:t>的失信行为记入诚信档案。</w:t>
            </w:r>
          </w:p>
        </w:tc>
      </w:tr>
      <w:tr w14:paraId="58DE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noWrap w:val="0"/>
            <w:vAlign w:val="center"/>
          </w:tcPr>
          <w:p w14:paraId="58947323">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rPr>
              <w:t>5</w:t>
            </w:r>
          </w:p>
        </w:tc>
        <w:tc>
          <w:tcPr>
            <w:tcW w:w="2165" w:type="dxa"/>
            <w:vMerge w:val="restart"/>
            <w:noWrap w:val="0"/>
            <w:vAlign w:val="center"/>
          </w:tcPr>
          <w:p w14:paraId="0E5B9764">
            <w:pPr>
              <w:adjustRightInd w:val="0"/>
              <w:spacing w:line="6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付款</w:t>
            </w:r>
            <w:r>
              <w:rPr>
                <w:rFonts w:hint="eastAsia" w:ascii="宋体" w:hAnsi="宋体" w:eastAsia="宋体" w:cs="宋体"/>
                <w:color w:val="auto"/>
                <w:kern w:val="0"/>
                <w:sz w:val="21"/>
                <w:szCs w:val="21"/>
                <w:lang w:val="zh-CN"/>
              </w:rPr>
              <w:t>进度</w:t>
            </w:r>
            <w:r>
              <w:rPr>
                <w:rFonts w:hint="eastAsia" w:ascii="宋体" w:hAnsi="宋体" w:eastAsia="宋体" w:cs="宋体"/>
                <w:color w:val="auto"/>
                <w:kern w:val="0"/>
                <w:sz w:val="21"/>
                <w:szCs w:val="21"/>
              </w:rPr>
              <w:t>安排</w:t>
            </w:r>
          </w:p>
        </w:tc>
        <w:tc>
          <w:tcPr>
            <w:tcW w:w="1134" w:type="dxa"/>
            <w:noWrap w:val="0"/>
            <w:vAlign w:val="center"/>
          </w:tcPr>
          <w:p w14:paraId="7BAE5BF6">
            <w:pPr>
              <w:adjustRightInd w:val="0"/>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付</w:t>
            </w:r>
          </w:p>
          <w:p w14:paraId="7493D129">
            <w:pPr>
              <w:adjustRightInd w:val="0"/>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款</w:t>
            </w:r>
          </w:p>
          <w:p w14:paraId="670E55A5">
            <w:pPr>
              <w:adjustRightInd w:val="0"/>
              <w:spacing w:line="36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条</w:t>
            </w:r>
          </w:p>
          <w:p w14:paraId="4A53B1BC">
            <w:pPr>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kern w:val="0"/>
                <w:sz w:val="21"/>
                <w:szCs w:val="21"/>
              </w:rPr>
              <w:t>件</w:t>
            </w:r>
          </w:p>
        </w:tc>
        <w:tc>
          <w:tcPr>
            <w:tcW w:w="5752" w:type="dxa"/>
            <w:noWrap w:val="0"/>
            <w:vAlign w:val="center"/>
          </w:tcPr>
          <w:p w14:paraId="48DC8A75">
            <w:pPr>
              <w:adjustRightInd w:val="0"/>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成交（中标）供应商每个单个项目履约完成且经采购人自行组织验收结果合格后，成交（</w:t>
            </w:r>
            <w:r>
              <w:rPr>
                <w:rFonts w:hint="eastAsia" w:ascii="宋体" w:hAnsi="宋体" w:eastAsia="宋体" w:cs="宋体"/>
                <w:color w:val="auto"/>
                <w:sz w:val="21"/>
                <w:szCs w:val="21"/>
              </w:rPr>
              <w:t>中标</w:t>
            </w:r>
            <w:r>
              <w:rPr>
                <w:rFonts w:hint="eastAsia" w:ascii="宋体" w:hAnsi="宋体" w:eastAsia="宋体" w:cs="宋体"/>
                <w:bCs/>
                <w:color w:val="auto"/>
                <w:sz w:val="21"/>
                <w:szCs w:val="21"/>
              </w:rPr>
              <w:t>）</w:t>
            </w:r>
            <w:r>
              <w:rPr>
                <w:rFonts w:hint="eastAsia" w:ascii="宋体" w:hAnsi="宋体" w:eastAsia="宋体" w:cs="宋体"/>
                <w:color w:val="auto"/>
                <w:sz w:val="21"/>
                <w:szCs w:val="21"/>
              </w:rPr>
              <w:t>供应商须及时向采购人提供与该项目结算金额对应的、真实有效的增值税发票。采购人在收到</w:t>
            </w:r>
            <w:r>
              <w:rPr>
                <w:rFonts w:hint="eastAsia" w:ascii="宋体" w:hAnsi="宋体" w:eastAsia="宋体" w:cs="宋体"/>
                <w:bCs/>
                <w:color w:val="auto"/>
                <w:sz w:val="21"/>
                <w:szCs w:val="21"/>
              </w:rPr>
              <w:t>成交（</w:t>
            </w:r>
            <w:r>
              <w:rPr>
                <w:rFonts w:hint="eastAsia" w:ascii="宋体" w:hAnsi="宋体" w:eastAsia="宋体" w:cs="宋体"/>
                <w:color w:val="auto"/>
                <w:sz w:val="21"/>
                <w:szCs w:val="21"/>
              </w:rPr>
              <w:t>中标</w:t>
            </w:r>
            <w:r>
              <w:rPr>
                <w:rFonts w:hint="eastAsia" w:ascii="宋体" w:hAnsi="宋体" w:eastAsia="宋体" w:cs="宋体"/>
                <w:bCs/>
                <w:color w:val="auto"/>
                <w:sz w:val="21"/>
                <w:szCs w:val="21"/>
              </w:rPr>
              <w:t>）</w:t>
            </w:r>
            <w:r>
              <w:rPr>
                <w:rFonts w:hint="eastAsia" w:ascii="宋体" w:hAnsi="宋体" w:eastAsia="宋体" w:cs="宋体"/>
                <w:color w:val="auto"/>
                <w:sz w:val="21"/>
                <w:szCs w:val="21"/>
              </w:rPr>
              <w:t>供应商提供的符合要求的增值税发票后10个工作日内，向</w:t>
            </w:r>
            <w:r>
              <w:rPr>
                <w:rFonts w:hint="eastAsia" w:ascii="宋体" w:hAnsi="宋体" w:eastAsia="宋体" w:cs="宋体"/>
                <w:bCs/>
                <w:color w:val="auto"/>
                <w:sz w:val="21"/>
                <w:szCs w:val="21"/>
              </w:rPr>
              <w:t>成交（</w:t>
            </w:r>
            <w:r>
              <w:rPr>
                <w:rFonts w:hint="eastAsia" w:ascii="宋体" w:hAnsi="宋体" w:eastAsia="宋体" w:cs="宋体"/>
                <w:color w:val="auto"/>
                <w:sz w:val="21"/>
                <w:szCs w:val="21"/>
              </w:rPr>
              <w:t>中标</w:t>
            </w:r>
            <w:r>
              <w:rPr>
                <w:rFonts w:hint="eastAsia" w:ascii="宋体" w:hAnsi="宋体" w:eastAsia="宋体" w:cs="宋体"/>
                <w:bCs/>
                <w:color w:val="auto"/>
                <w:sz w:val="21"/>
                <w:szCs w:val="21"/>
              </w:rPr>
              <w:t>）</w:t>
            </w:r>
            <w:r>
              <w:rPr>
                <w:rFonts w:hint="eastAsia" w:ascii="宋体" w:hAnsi="宋体" w:eastAsia="宋体" w:cs="宋体"/>
                <w:color w:val="auto"/>
                <w:sz w:val="21"/>
                <w:szCs w:val="21"/>
              </w:rPr>
              <w:t>供应商支付该项目结算金额的100%。所有子项任务服务费总额不超出合同金额，超出部分不予支付（接近合同金额时，供应商应自行评估是否继续承接子项任务）。</w:t>
            </w:r>
          </w:p>
          <w:p w14:paraId="57FC88FE">
            <w:pPr>
              <w:adjustRightIn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支付标准为：</w:t>
            </w:r>
            <w:r>
              <w:rPr>
                <w:rFonts w:hint="eastAsia" w:ascii="宋体" w:hAnsi="宋体" w:eastAsia="宋体" w:cs="宋体"/>
                <w:color w:val="auto"/>
                <w:sz w:val="21"/>
                <w:szCs w:val="21"/>
              </w:rPr>
              <w:t>按照单个项目最终工程结算价的千分之六计取。根据学校需要和安排，如需对零星维修项目开展竣工结算审核，基本审核费按累计送审金额的千分之四计取，效益审核费按累计审减金额的百分之四计取。</w:t>
            </w:r>
          </w:p>
        </w:tc>
      </w:tr>
      <w:tr w14:paraId="3081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noWrap w:val="0"/>
            <w:vAlign w:val="center"/>
          </w:tcPr>
          <w:p w14:paraId="1AB252D8">
            <w:pPr>
              <w:adjustRightInd w:val="0"/>
              <w:spacing w:line="360" w:lineRule="auto"/>
              <w:rPr>
                <w:rFonts w:ascii="宋体" w:hAnsi="宋体" w:eastAsia="宋体" w:cs="宋体"/>
                <w:color w:val="auto"/>
                <w:sz w:val="21"/>
                <w:szCs w:val="21"/>
              </w:rPr>
            </w:pPr>
          </w:p>
        </w:tc>
        <w:tc>
          <w:tcPr>
            <w:tcW w:w="2165" w:type="dxa"/>
            <w:vMerge w:val="continue"/>
            <w:noWrap w:val="0"/>
            <w:vAlign w:val="center"/>
          </w:tcPr>
          <w:p w14:paraId="37C9FDFF">
            <w:pPr>
              <w:adjustRightInd w:val="0"/>
              <w:spacing w:line="360" w:lineRule="auto"/>
              <w:rPr>
                <w:rFonts w:ascii="宋体" w:hAnsi="宋体" w:eastAsia="宋体" w:cs="宋体"/>
                <w:color w:val="auto"/>
                <w:sz w:val="21"/>
                <w:szCs w:val="21"/>
              </w:rPr>
            </w:pPr>
          </w:p>
        </w:tc>
        <w:tc>
          <w:tcPr>
            <w:tcW w:w="1134" w:type="dxa"/>
            <w:noWrap w:val="0"/>
            <w:vAlign w:val="center"/>
          </w:tcPr>
          <w:p w14:paraId="676C8212">
            <w:pPr>
              <w:adjustRightInd w:val="0"/>
              <w:spacing w:line="360" w:lineRule="auto"/>
              <w:jc w:val="center"/>
              <w:rPr>
                <w:rFonts w:ascii="宋体" w:hAnsi="宋体" w:eastAsia="宋体" w:cs="宋体"/>
                <w:color w:val="auto"/>
                <w:sz w:val="21"/>
                <w:szCs w:val="21"/>
              </w:rPr>
            </w:pPr>
            <w:r>
              <w:rPr>
                <w:rFonts w:hint="eastAsia" w:ascii="宋体" w:hAnsi="宋体" w:eastAsia="宋体" w:cs="宋体"/>
                <w:color w:val="auto"/>
                <w:kern w:val="0"/>
                <w:sz w:val="21"/>
                <w:szCs w:val="21"/>
              </w:rPr>
              <w:t>补充说明事项</w:t>
            </w:r>
          </w:p>
        </w:tc>
        <w:tc>
          <w:tcPr>
            <w:tcW w:w="5752" w:type="dxa"/>
            <w:noWrap w:val="0"/>
            <w:vAlign w:val="center"/>
          </w:tcPr>
          <w:p w14:paraId="0C697B5F">
            <w:pPr>
              <w:adjustRightInd w:val="0"/>
              <w:spacing w:line="348" w:lineRule="auto"/>
              <w:rPr>
                <w:rFonts w:ascii="宋体" w:hAnsi="宋体" w:eastAsia="宋体" w:cs="宋体"/>
                <w:color w:val="auto"/>
                <w:sz w:val="21"/>
                <w:szCs w:val="21"/>
              </w:rPr>
            </w:pPr>
            <w:r>
              <w:rPr>
                <w:rFonts w:hint="eastAsia" w:ascii="宋体" w:hAnsi="宋体" w:eastAsia="宋体" w:cs="宋体"/>
                <w:color w:val="auto"/>
                <w:sz w:val="21"/>
                <w:szCs w:val="21"/>
              </w:rPr>
              <w:t>第一，若结算时采购人与</w:t>
            </w:r>
            <w:r>
              <w:rPr>
                <w:rFonts w:hint="eastAsia" w:ascii="宋体" w:hAnsi="宋体" w:eastAsia="宋体" w:cs="宋体"/>
                <w:bCs/>
                <w:color w:val="auto"/>
                <w:sz w:val="21"/>
                <w:szCs w:val="21"/>
              </w:rPr>
              <w:t>成交（</w:t>
            </w:r>
            <w:r>
              <w:rPr>
                <w:rFonts w:hint="eastAsia" w:ascii="宋体" w:hAnsi="宋体" w:eastAsia="宋体" w:cs="宋体"/>
                <w:color w:val="auto"/>
                <w:sz w:val="21"/>
                <w:szCs w:val="21"/>
              </w:rPr>
              <w:t>中标</w:t>
            </w:r>
            <w:r>
              <w:rPr>
                <w:rFonts w:hint="eastAsia" w:ascii="宋体" w:hAnsi="宋体" w:eastAsia="宋体" w:cs="宋体"/>
                <w:bCs/>
                <w:color w:val="auto"/>
                <w:sz w:val="21"/>
                <w:szCs w:val="21"/>
              </w:rPr>
              <w:t>）</w:t>
            </w:r>
            <w:r>
              <w:rPr>
                <w:rFonts w:hint="eastAsia" w:ascii="宋体" w:hAnsi="宋体" w:eastAsia="宋体" w:cs="宋体"/>
                <w:color w:val="auto"/>
                <w:sz w:val="21"/>
                <w:szCs w:val="21"/>
              </w:rPr>
              <w:t>供应商存在付款争议，待争议解决后再支付货款，付款手续按采购人单位财务相关规定进行。</w:t>
            </w:r>
          </w:p>
          <w:p w14:paraId="2C5D89C7">
            <w:pPr>
              <w:adjustRightInd w:val="0"/>
              <w:spacing w:line="348" w:lineRule="auto"/>
              <w:rPr>
                <w:rFonts w:ascii="宋体" w:hAnsi="宋体" w:eastAsia="宋体" w:cs="宋体"/>
                <w:color w:val="auto"/>
                <w:sz w:val="21"/>
                <w:szCs w:val="21"/>
              </w:rPr>
            </w:pPr>
            <w:r>
              <w:rPr>
                <w:rFonts w:hint="eastAsia" w:ascii="宋体" w:hAnsi="宋体" w:eastAsia="宋体" w:cs="宋体"/>
                <w:color w:val="auto"/>
                <w:sz w:val="21"/>
                <w:szCs w:val="21"/>
              </w:rPr>
              <w:t>第二，若成交（中标）供应商未提供符合规定的增值税发票等相关单据或资料不齐全、不符合约定的，采购人有权拒绝付款，因此导致迟延付款的责任及造成的采购人损失由成交（中标）供应商自行承担，且成交（中标）供应商不得因此拒绝履行合同，否则应按合同约定承担违约责任，同时，采购人有权将有关</w:t>
            </w:r>
            <w:r>
              <w:rPr>
                <w:rFonts w:hint="eastAsia" w:ascii="宋体" w:hAnsi="宋体" w:eastAsia="宋体" w:cs="宋体"/>
                <w:color w:val="auto"/>
                <w:sz w:val="21"/>
                <w:szCs w:val="21"/>
                <w:highlight w:val="none"/>
              </w:rPr>
              <w:t>情况向学校计划财务处书面报告，对成交（中标）供应商依法进行惩戒和追究法律责</w:t>
            </w:r>
            <w:r>
              <w:rPr>
                <w:rFonts w:hint="eastAsia" w:ascii="宋体" w:hAnsi="宋体" w:eastAsia="宋体" w:cs="宋体"/>
                <w:color w:val="auto"/>
                <w:sz w:val="21"/>
                <w:szCs w:val="21"/>
              </w:rPr>
              <w:t>任。</w:t>
            </w:r>
          </w:p>
          <w:p w14:paraId="5D34B2A0">
            <w:pPr>
              <w:adjustRightInd w:val="0"/>
              <w:spacing w:line="348" w:lineRule="auto"/>
              <w:rPr>
                <w:rFonts w:ascii="宋体" w:hAnsi="宋体" w:eastAsia="宋体" w:cs="宋体"/>
                <w:color w:val="auto"/>
                <w:sz w:val="21"/>
                <w:szCs w:val="21"/>
              </w:rPr>
            </w:pPr>
            <w:r>
              <w:rPr>
                <w:rFonts w:hint="eastAsia" w:ascii="宋体" w:hAnsi="宋体" w:eastAsia="宋体" w:cs="宋体"/>
                <w:color w:val="auto"/>
                <w:sz w:val="21"/>
                <w:szCs w:val="21"/>
              </w:rPr>
              <w:t>第三，若采购项目所属年度当年年底按照合同约定不能支付的（非采购人主观原因），采购人应及时告知成交（中标）供应商，并顺延至次年上级财政预算下达后继续支付相应款项。</w:t>
            </w:r>
          </w:p>
        </w:tc>
      </w:tr>
      <w:tr w14:paraId="1CB3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5B3D5B6D">
            <w:pPr>
              <w:adjustRightInd w:val="0"/>
              <w:spacing w:line="3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165" w:type="dxa"/>
            <w:noWrap w:val="0"/>
            <w:vAlign w:val="center"/>
          </w:tcPr>
          <w:p w14:paraId="4391BBBE">
            <w:pPr>
              <w:adjustRightInd w:val="0"/>
              <w:spacing w:line="60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违约责任与</w:t>
            </w:r>
          </w:p>
          <w:p w14:paraId="46042123">
            <w:pPr>
              <w:adjustRightInd w:val="0"/>
              <w:spacing w:line="60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zh-CN"/>
              </w:rPr>
              <w:t>解决方式</w:t>
            </w:r>
          </w:p>
        </w:tc>
        <w:tc>
          <w:tcPr>
            <w:tcW w:w="6886" w:type="dxa"/>
            <w:gridSpan w:val="2"/>
            <w:noWrap w:val="0"/>
            <w:vAlign w:val="center"/>
          </w:tcPr>
          <w:p w14:paraId="68358670">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第一，违约责任：</w:t>
            </w:r>
          </w:p>
          <w:p w14:paraId="6A7B7E51">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一）成交（中标）供应商必须遵守采购合同并执行合同中的各项规定，保证采购合同的正常履行。如因成交（中标）供应商工作人员在履行职务过程中的疏忽、失职、过错等故意或者过失原因给采购人造成损失或侵害，包括但不限于采购人本身的财产损失，由此而导致的采购人对任何第三方的法律责任等，成交（中标）供应商对此均应承担全部的赔偿责任。</w:t>
            </w:r>
          </w:p>
          <w:p w14:paraId="51A34E5C">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二）成交（中标）供应商逾期未提供本项目采购合同、技术服务协议约定的服务的，或者成交（中标）供应商逾期未按照本项目采购合同、技术服务协议约定的服务期限完成服务的，从逾期之日起算，每逾期1个日历日按成交（中标）金额的1％向采购人支付违约金；逾期10个日历日（含）的，采购人将视成交（中标）供应商未按合同履约，采购人除了向成交（中标）供应商追缴相应的违约金外，还会不予退还成交（中标）供应商履约保证金、向本项目同级财政部门（或学校计划财务处）书面报告成交（中标）供应商违约情况，对成交（中标）供应商依法进行惩戒和追究法律责任，由此造成的采购人经济损失由成交（中标）供应商承担。</w:t>
            </w:r>
          </w:p>
          <w:p w14:paraId="5EB32A25">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注：上述逾期时间由采购人在同一项目中累加计算，具体以采购人认定为准。</w:t>
            </w:r>
          </w:p>
          <w:p w14:paraId="5368DEA1">
            <w:pPr>
              <w:spacing w:line="360" w:lineRule="auto"/>
              <w:rPr>
                <w:rFonts w:ascii="宋体" w:hAnsi="宋体" w:eastAsia="宋体" w:cs="宋体"/>
                <w:color w:val="auto"/>
                <w:sz w:val="21"/>
                <w:szCs w:val="21"/>
              </w:rPr>
            </w:pPr>
            <w:r>
              <w:rPr>
                <w:rFonts w:hint="eastAsia" w:ascii="宋体" w:hAnsi="宋体" w:eastAsia="宋体" w:cs="宋体"/>
                <w:bCs/>
                <w:color w:val="auto"/>
                <w:sz w:val="21"/>
                <w:szCs w:val="21"/>
              </w:rPr>
              <w:t>（三）在采购人自行组织的履约验收阶段出现</w:t>
            </w:r>
            <w:r>
              <w:rPr>
                <w:rFonts w:hint="eastAsia" w:ascii="宋体" w:hAnsi="宋体" w:eastAsia="宋体" w:cs="宋体"/>
                <w:color w:val="auto"/>
                <w:sz w:val="21"/>
                <w:szCs w:val="21"/>
              </w:rPr>
              <w:t>履约验收结果不合格的情形，或者质保期内</w:t>
            </w:r>
            <w:r>
              <w:rPr>
                <w:rFonts w:hint="eastAsia" w:ascii="宋体" w:hAnsi="宋体" w:eastAsia="宋体" w:cs="宋体"/>
                <w:color w:val="auto"/>
                <w:kern w:val="0"/>
                <w:sz w:val="21"/>
                <w:szCs w:val="21"/>
              </w:rPr>
              <w:t>成交（中标）供应商</w:t>
            </w:r>
            <w:r>
              <w:rPr>
                <w:rFonts w:hint="eastAsia" w:ascii="宋体" w:hAnsi="宋体" w:eastAsia="宋体" w:cs="宋体"/>
                <w:color w:val="auto"/>
                <w:sz w:val="21"/>
                <w:szCs w:val="21"/>
              </w:rPr>
              <w:t>提</w:t>
            </w:r>
            <w:r>
              <w:rPr>
                <w:rFonts w:hint="eastAsia" w:ascii="宋体" w:hAnsi="宋体" w:eastAsia="宋体" w:cs="宋体"/>
                <w:color w:val="auto"/>
                <w:kern w:val="0"/>
                <w:sz w:val="21"/>
                <w:szCs w:val="21"/>
                <w:lang w:val="zh-CN"/>
              </w:rPr>
              <w:t>供</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zh-CN"/>
              </w:rPr>
              <w:t>解决方案</w:t>
            </w:r>
            <w:r>
              <w:rPr>
                <w:rFonts w:hint="eastAsia" w:ascii="宋体" w:hAnsi="宋体" w:eastAsia="宋体" w:cs="宋体"/>
                <w:color w:val="auto"/>
                <w:kern w:val="0"/>
                <w:sz w:val="21"/>
                <w:szCs w:val="21"/>
              </w:rPr>
              <w:t>和</w:t>
            </w:r>
            <w:r>
              <w:rPr>
                <w:rFonts w:hint="eastAsia" w:ascii="宋体" w:hAnsi="宋体" w:eastAsia="宋体" w:cs="宋体"/>
                <w:color w:val="auto"/>
                <w:kern w:val="0"/>
                <w:sz w:val="21"/>
                <w:szCs w:val="21"/>
                <w:lang w:val="zh-CN"/>
              </w:rPr>
              <w:t>远程指导</w:t>
            </w:r>
            <w:r>
              <w:rPr>
                <w:rFonts w:hint="eastAsia" w:ascii="宋体" w:hAnsi="宋体" w:eastAsia="宋体" w:cs="宋体"/>
                <w:color w:val="auto"/>
                <w:kern w:val="0"/>
                <w:sz w:val="21"/>
                <w:szCs w:val="21"/>
              </w:rPr>
              <w:t>或者</w:t>
            </w:r>
            <w:r>
              <w:rPr>
                <w:rFonts w:hint="eastAsia" w:ascii="宋体" w:hAnsi="宋体" w:eastAsia="宋体" w:cs="宋体"/>
                <w:color w:val="auto"/>
                <w:kern w:val="0"/>
                <w:sz w:val="21"/>
                <w:szCs w:val="21"/>
                <w:lang w:val="zh-CN"/>
              </w:rPr>
              <w:t>指派</w:t>
            </w:r>
            <w:r>
              <w:rPr>
                <w:rFonts w:hint="eastAsia" w:ascii="宋体" w:hAnsi="宋体" w:eastAsia="宋体" w:cs="宋体"/>
                <w:color w:val="auto"/>
                <w:kern w:val="0"/>
                <w:sz w:val="21"/>
                <w:szCs w:val="21"/>
              </w:rPr>
              <w:t>专业技术人员赴采购人指定</w:t>
            </w:r>
            <w:r>
              <w:rPr>
                <w:rFonts w:hint="eastAsia" w:ascii="宋体" w:hAnsi="宋体" w:eastAsia="宋体" w:cs="宋体"/>
                <w:color w:val="auto"/>
                <w:kern w:val="0"/>
                <w:sz w:val="21"/>
                <w:szCs w:val="21"/>
                <w:lang w:val="zh-CN"/>
              </w:rPr>
              <w:t>现场</w:t>
            </w:r>
            <w:r>
              <w:rPr>
                <w:rFonts w:hint="eastAsia" w:ascii="宋体" w:hAnsi="宋体" w:eastAsia="宋体" w:cs="宋体"/>
                <w:color w:val="auto"/>
                <w:kern w:val="0"/>
                <w:sz w:val="21"/>
                <w:szCs w:val="21"/>
              </w:rPr>
              <w:t>仍然无法解决故障或质量问题后，拒绝向采购人</w:t>
            </w:r>
            <w:r>
              <w:rPr>
                <w:rFonts w:hint="eastAsia" w:ascii="宋体" w:hAnsi="宋体" w:eastAsia="宋体" w:cs="宋体"/>
                <w:color w:val="auto"/>
                <w:sz w:val="21"/>
                <w:szCs w:val="21"/>
              </w:rPr>
              <w:t>重新提供完整的服务或者</w:t>
            </w:r>
            <w:r>
              <w:rPr>
                <w:rFonts w:hint="eastAsia" w:ascii="宋体" w:hAnsi="宋体" w:eastAsia="宋体" w:cs="宋体"/>
                <w:color w:val="auto"/>
                <w:kern w:val="0"/>
                <w:sz w:val="21"/>
                <w:szCs w:val="21"/>
              </w:rPr>
              <w:t>向采购人</w:t>
            </w:r>
            <w:r>
              <w:rPr>
                <w:rFonts w:hint="eastAsia" w:ascii="宋体" w:hAnsi="宋体" w:eastAsia="宋体" w:cs="宋体"/>
                <w:color w:val="auto"/>
                <w:sz w:val="21"/>
                <w:szCs w:val="21"/>
              </w:rPr>
              <w:t>重新提供完整的服务在新的质保期内再次出现</w:t>
            </w:r>
            <w:r>
              <w:rPr>
                <w:rFonts w:hint="eastAsia" w:ascii="宋体" w:hAnsi="宋体" w:eastAsia="宋体" w:cs="宋体"/>
                <w:color w:val="auto"/>
                <w:kern w:val="0"/>
                <w:sz w:val="21"/>
                <w:szCs w:val="21"/>
              </w:rPr>
              <w:t>故障或质量问题的，</w:t>
            </w:r>
            <w:r>
              <w:rPr>
                <w:rFonts w:hint="eastAsia" w:ascii="宋体" w:hAnsi="宋体" w:eastAsia="宋体" w:cs="宋体"/>
                <w:color w:val="auto"/>
                <w:sz w:val="21"/>
                <w:szCs w:val="21"/>
              </w:rPr>
              <w:t>采购人可依法追究成交（中标）供应商的全违约责任，并视具体情形不予支付或者索回本项目采购资金。</w:t>
            </w:r>
          </w:p>
          <w:p w14:paraId="3FAE867B">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四）成交（中标）供应商因不可抗力原因导致的合同无法履行，应及时书面报告采购人。经采购人认定情况属实的，可免除成交（中标）供应商违约责任，可视具体情形与成交（中标）供应商另行签订相关补充协议或书面报告本项目同级财政部门（或学校计划财务处）依法变更成交（中标）结果。</w:t>
            </w:r>
          </w:p>
          <w:p w14:paraId="5EEC1902">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（五）其他未尽事宜以合同约定为准。</w:t>
            </w:r>
          </w:p>
          <w:p w14:paraId="26BC305F">
            <w:pPr>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第二，争议解决办法：</w:t>
            </w:r>
          </w:p>
          <w:p w14:paraId="4B9F9AFC">
            <w:pPr>
              <w:pStyle w:val="11"/>
              <w:spacing w:line="360" w:lineRule="auto"/>
              <w:ind w:firstLine="0" w:firstLineChars="0"/>
              <w:rPr>
                <w:rFonts w:ascii="宋体" w:hAnsi="宋体" w:eastAsia="宋体" w:cs="宋体"/>
                <w:color w:val="auto"/>
                <w:kern w:val="0"/>
                <w:sz w:val="21"/>
                <w:szCs w:val="21"/>
                <w:lang w:val="zh-CN"/>
              </w:rPr>
            </w:pPr>
            <w:r>
              <w:rPr>
                <w:rFonts w:hint="eastAsia" w:ascii="宋体" w:hAnsi="宋体" w:eastAsia="宋体" w:cs="宋体"/>
                <w:color w:val="auto"/>
                <w:sz w:val="21"/>
                <w:szCs w:val="21"/>
              </w:rPr>
              <w:t>在合同履行期间（含质保期），因成交（中标）供应商提供的服务存在缺陷造成服务故障或质量问题出现解决争议时，可由采购人或其指定的第三方机构进行质量鉴定，经鉴定后符合本项目采购合同和技术服务协议约定的标准的，鉴定费由采购人承担；经鉴定后不符合本项目采购合同和技术服务协议约定的标准的，鉴定费由成交（中标）供应商自行承担；还可由双方协商或由有关部门调解解决，协商或调解不成的，可向采购人所在地人民法院起诉。</w:t>
            </w:r>
          </w:p>
        </w:tc>
      </w:tr>
      <w:tr w14:paraId="59A5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5FFC99A3">
            <w:pPr>
              <w:adjustRightInd w:val="0"/>
              <w:spacing w:line="3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165" w:type="dxa"/>
            <w:noWrap w:val="0"/>
            <w:vAlign w:val="center"/>
          </w:tcPr>
          <w:p w14:paraId="2348007E">
            <w:pPr>
              <w:adjustRightInd w:val="0"/>
              <w:spacing w:line="3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知识产权</w:t>
            </w:r>
          </w:p>
        </w:tc>
        <w:tc>
          <w:tcPr>
            <w:tcW w:w="6886" w:type="dxa"/>
            <w:gridSpan w:val="2"/>
            <w:noWrap w:val="0"/>
            <w:vAlign w:val="center"/>
          </w:tcPr>
          <w:p w14:paraId="794521A3">
            <w:pPr>
              <w:pStyle w:val="6"/>
              <w:spacing w:after="0" w:line="360" w:lineRule="auto"/>
              <w:ind w:left="0" w:leftChars="0"/>
              <w:rPr>
                <w:rFonts w:ascii="宋体" w:hAnsi="宋体" w:eastAsia="宋体" w:cs="宋体"/>
                <w:color w:val="auto"/>
                <w:sz w:val="21"/>
                <w:szCs w:val="21"/>
              </w:rPr>
            </w:pPr>
            <w:r>
              <w:rPr>
                <w:rFonts w:hint="eastAsia" w:ascii="宋体" w:hAnsi="宋体" w:eastAsia="宋体" w:cs="宋体"/>
                <w:color w:val="auto"/>
                <w:sz w:val="21"/>
                <w:szCs w:val="21"/>
              </w:rPr>
              <w:t>第一，供应商应保证在本项目中使用的任何</w:t>
            </w:r>
            <w:r>
              <w:rPr>
                <w:rFonts w:hint="eastAsia" w:ascii="宋体" w:hAnsi="宋体" w:eastAsia="宋体" w:cs="宋体"/>
                <w:color w:val="auto"/>
                <w:kern w:val="0"/>
                <w:sz w:val="21"/>
                <w:szCs w:val="21"/>
                <w:lang w:val="zh-CN"/>
              </w:rPr>
              <w:t>设备（货物）</w:t>
            </w:r>
            <w:r>
              <w:rPr>
                <w:rFonts w:hint="eastAsia" w:ascii="宋体" w:hAnsi="宋体" w:eastAsia="宋体" w:cs="宋体"/>
                <w:color w:val="auto"/>
                <w:sz w:val="21"/>
                <w:szCs w:val="21"/>
              </w:rPr>
              <w:t>和服务，不会产生因第三方提出侵犯其专利权、商标权或其它知识产权而引起的法律和经济纠纷，如因专利权、商标权或其它知识产权而引起法律和经济纠纷，由供应商承担所有相关责任。</w:t>
            </w:r>
          </w:p>
          <w:p w14:paraId="58CC3366">
            <w:pPr>
              <w:pStyle w:val="6"/>
              <w:spacing w:after="0" w:line="360" w:lineRule="auto"/>
              <w:ind w:left="0" w:leftChars="0"/>
              <w:rPr>
                <w:rFonts w:ascii="宋体" w:hAnsi="宋体" w:eastAsia="宋体" w:cs="宋体"/>
                <w:color w:val="auto"/>
                <w:sz w:val="21"/>
                <w:szCs w:val="21"/>
              </w:rPr>
            </w:pPr>
            <w:r>
              <w:rPr>
                <w:rFonts w:hint="eastAsia" w:ascii="宋体" w:hAnsi="宋体" w:eastAsia="宋体" w:cs="宋体"/>
                <w:color w:val="auto"/>
                <w:sz w:val="21"/>
                <w:szCs w:val="21"/>
              </w:rPr>
              <w:t>第二，除非采购文件特别规定，采购人享有本项目实施过程中产生的知识成果及知识产权。</w:t>
            </w:r>
          </w:p>
          <w:p w14:paraId="6CA91D45">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第三，供应商将在采购项目实施过程中采用自有或者第三方知识成果的，应当在响应（投标）文件中载明，并提供相关知识产权证明文件。使用该知识成果后，供应商需向采购人提供开发接口和开发手册等技术资料，并承诺提供无限期支持，采购人享有使用权（含采购人委托第三方在该项目后续开发的使用权）。</w:t>
            </w:r>
          </w:p>
          <w:p w14:paraId="512CC0E1">
            <w:pPr>
              <w:adjustRightInd w:val="0"/>
              <w:spacing w:line="360" w:lineRule="auto"/>
              <w:jc w:val="left"/>
              <w:rPr>
                <w:rFonts w:ascii="宋体" w:hAnsi="宋体" w:eastAsia="宋体" w:cs="宋体"/>
                <w:color w:val="auto"/>
                <w:kern w:val="0"/>
                <w:sz w:val="21"/>
                <w:szCs w:val="21"/>
                <w:lang w:val="zh-CN"/>
              </w:rPr>
            </w:pPr>
            <w:r>
              <w:rPr>
                <w:rFonts w:hint="eastAsia" w:ascii="宋体" w:hAnsi="宋体" w:eastAsia="宋体" w:cs="宋体"/>
                <w:color w:val="auto"/>
                <w:sz w:val="21"/>
                <w:szCs w:val="21"/>
              </w:rPr>
              <w:t>第四，如采用供应商所不拥有的知识产权，则在供应商响应（投标）报价中必须包括合法获取该知识产权的相关费用。</w:t>
            </w:r>
          </w:p>
        </w:tc>
      </w:tr>
      <w:tr w14:paraId="0E79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07299674">
            <w:pPr>
              <w:adjustRightInd w:val="0"/>
              <w:spacing w:line="32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165" w:type="dxa"/>
            <w:noWrap w:val="0"/>
            <w:vAlign w:val="center"/>
          </w:tcPr>
          <w:p w14:paraId="159DE680">
            <w:pPr>
              <w:adjustRightInd w:val="0"/>
              <w:spacing w:line="320" w:lineRule="exact"/>
              <w:jc w:val="center"/>
              <w:rPr>
                <w:rFonts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其他</w:t>
            </w:r>
          </w:p>
        </w:tc>
        <w:tc>
          <w:tcPr>
            <w:tcW w:w="6886" w:type="dxa"/>
            <w:gridSpan w:val="2"/>
            <w:noWrap w:val="0"/>
            <w:vAlign w:val="center"/>
          </w:tcPr>
          <w:p w14:paraId="5317AC6E">
            <w:pPr>
              <w:widowControl/>
              <w:adjustRightIn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第一，本项目履约过程中的服务过程的一切安全责任，由成交（中标）供应商自行承担。</w:t>
            </w:r>
          </w:p>
          <w:p w14:paraId="4314E42C">
            <w:pPr>
              <w:widowControl/>
              <w:adjustRightIn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第二，本项</w:t>
            </w:r>
            <w:r>
              <w:rPr>
                <w:rFonts w:hint="eastAsia" w:ascii="宋体" w:hAnsi="宋体" w:eastAsia="宋体" w:cs="宋体"/>
                <w:color w:val="auto"/>
                <w:sz w:val="21"/>
                <w:szCs w:val="21"/>
                <w:highlight w:val="none"/>
              </w:rPr>
              <w:t>目采用固定报价，价格不作为评分依据，供应商应严格按照磋商文件要求提供报价</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rPr>
              <w:t>，未提供或固定价格不按照要求填写的的作无效响应处理；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报价：①</w:t>
            </w:r>
            <w:r>
              <w:rPr>
                <w:rFonts w:hint="eastAsia" w:ascii="宋体" w:hAnsi="宋体" w:eastAsia="宋体" w:cs="宋体"/>
                <w:color w:val="auto"/>
                <w:sz w:val="21"/>
                <w:szCs w:val="21"/>
                <w:highlight w:val="none"/>
              </w:rPr>
              <w:t>按照单个项目最终工程结算价的千分之六计取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根据学校需要和</w:t>
            </w:r>
            <w:r>
              <w:rPr>
                <w:rFonts w:hint="eastAsia" w:ascii="宋体" w:hAnsi="宋体" w:eastAsia="宋体" w:cs="宋体"/>
                <w:color w:val="auto"/>
                <w:sz w:val="21"/>
                <w:szCs w:val="21"/>
              </w:rPr>
              <w:t>安排，如需对零星维修项目开展竣工结算审核，基本审核费按累计送审金额的千分之四计取，效益审核费按累计审减金额的百分之四计取。</w:t>
            </w:r>
            <w:r>
              <w:rPr>
                <w:rFonts w:hint="eastAsia" w:ascii="宋体" w:hAnsi="宋体" w:eastAsia="宋体" w:cs="宋体"/>
                <w:color w:val="auto"/>
                <w:sz w:val="21"/>
                <w:szCs w:val="21"/>
                <w:lang w:eastAsia="zh-CN"/>
              </w:rPr>
              <w:t>）</w:t>
            </w:r>
          </w:p>
          <w:p w14:paraId="0ED28F8C">
            <w:pPr>
              <w:widowControl/>
              <w:adjustRightInd w:val="0"/>
              <w:spacing w:line="360" w:lineRule="auto"/>
              <w:rPr>
                <w:rFonts w:ascii="宋体" w:hAnsi="宋体" w:eastAsia="宋体" w:cs="宋体"/>
                <w:color w:val="auto"/>
                <w:kern w:val="0"/>
                <w:sz w:val="21"/>
                <w:szCs w:val="21"/>
                <w:highlight w:val="green"/>
              </w:rPr>
            </w:pPr>
            <w:r>
              <w:rPr>
                <w:rFonts w:hint="eastAsia" w:ascii="宋体" w:hAnsi="宋体" w:eastAsia="宋体" w:cs="宋体"/>
                <w:color w:val="auto"/>
                <w:sz w:val="21"/>
                <w:szCs w:val="21"/>
              </w:rPr>
              <w:t>第三，本项目不收取供应商质量保证金。</w:t>
            </w:r>
          </w:p>
        </w:tc>
      </w:tr>
    </w:tbl>
    <w:p w14:paraId="0D732C44">
      <w:pPr>
        <w:pStyle w:val="4"/>
        <w:ind w:right="-92" w:rightChars="-44"/>
        <w:rPr>
          <w:rFonts w:hint="eastAsia" w:ascii="宋体" w:hAnsi="宋体" w:cs="宋体"/>
          <w:b/>
          <w:bCs/>
          <w:color w:val="auto"/>
          <w:sz w:val="24"/>
          <w:highlight w:val="red"/>
        </w:rPr>
      </w:pPr>
    </w:p>
    <w:p w14:paraId="1FE88D0A">
      <w:pPr>
        <w:pStyle w:val="4"/>
        <w:ind w:right="-92" w:rightChars="-44"/>
        <w:rPr>
          <w:rFonts w:hint="eastAsia" w:ascii="宋体" w:hAnsi="宋体" w:cs="宋体"/>
          <w:b/>
          <w:bCs/>
          <w:color w:val="auto"/>
          <w:sz w:val="24"/>
          <w:highlight w:val="red"/>
        </w:rPr>
      </w:pPr>
    </w:p>
    <w:p w14:paraId="703D9EFD">
      <w:pPr>
        <w:pStyle w:val="5"/>
        <w:ind w:right="-92" w:rightChars="-44" w:firstLine="482" w:firstLineChars="200"/>
        <w:outlineLvl w:val="1"/>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五、其他要求</w:t>
      </w:r>
    </w:p>
    <w:p w14:paraId="5624AE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供应商为本项目人员配置①项目负责人；②土建专业负责人；③安装专业负责人；④其他人员配置。</w:t>
      </w:r>
    </w:p>
    <w:p w14:paraId="74A583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、供应商为本项目提供的造价咨询服务方案：①服务内容及工作流程；②时间安排、人员安排；③咨询工作的重点难点分析；④质量控制措施；⑤进度控制措施；⑥咨询成果确认、合理化建议。</w:t>
      </w:r>
    </w:p>
    <w:p w14:paraId="79822A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、供应商为本项目提供的内部质量控制制度：①质量管理体系建设②廉洁制度</w:t>
      </w:r>
      <w:r>
        <w:rPr>
          <w:rFonts w:hint="eastAsia" w:ascii="仿宋_GB2312" w:hAnsi="仿宋_GB2312" w:eastAsia="仿宋_GB2312" w:cs="仿宋_GB2312"/>
          <w:color w:val="auto"/>
          <w:sz w:val="24"/>
        </w:rPr>
        <w:t>③</w:t>
      </w:r>
      <w:r>
        <w:rPr>
          <w:rFonts w:hint="eastAsia" w:ascii="宋体" w:hAnsi="宋体" w:eastAsia="宋体" w:cs="宋体"/>
          <w:color w:val="auto"/>
          <w:sz w:val="24"/>
        </w:rPr>
        <w:t>保密管理制度</w:t>
      </w:r>
      <w:r>
        <w:rPr>
          <w:rFonts w:hint="eastAsia" w:ascii="仿宋_GB2312" w:hAnsi="仿宋_GB2312" w:eastAsia="仿宋_GB2312" w:cs="仿宋_GB2312"/>
          <w:color w:val="auto"/>
          <w:sz w:val="24"/>
        </w:rPr>
        <w:t>④</w:t>
      </w:r>
      <w:r>
        <w:rPr>
          <w:rFonts w:hint="eastAsia" w:ascii="宋体" w:hAnsi="宋体" w:eastAsia="宋体" w:cs="宋体"/>
          <w:color w:val="auto"/>
          <w:sz w:val="24"/>
        </w:rPr>
        <w:t>服务质量回访制度</w:t>
      </w:r>
      <w:r>
        <w:rPr>
          <w:rFonts w:hint="eastAsia" w:ascii="宋体" w:hAnsi="宋体" w:eastAsia="宋体" w:cs="宋体"/>
          <w:color w:val="auto"/>
          <w:sz w:val="24"/>
          <w:szCs w:val="24"/>
          <w:highlight w:val="none"/>
          <w:lang w:val="en-US" w:eastAsia="zh-CN"/>
        </w:rPr>
        <w:t>；</w:t>
      </w:r>
    </w:p>
    <w:p w14:paraId="55969B73">
      <w:pPr>
        <w:pStyle w:val="3"/>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供应商提供自2022年1月1日（含）至递交响应（投标）文件截止时间为止，自身取得的类似项目业绩。</w:t>
      </w:r>
    </w:p>
    <w:p w14:paraId="4C476B7C">
      <w:pPr>
        <w:pStyle w:val="3"/>
        <w:spacing w:line="360" w:lineRule="auto"/>
        <w:ind w:right="-92" w:rightChars="-44" w:firstLine="0" w:firstLineChars="0"/>
        <w:rPr>
          <w:rFonts w:hint="eastAsia" w:ascii="宋体" w:hAnsi="宋体" w:cs="宋体"/>
          <w:b/>
          <w:bCs/>
          <w:color w:val="auto"/>
          <w:sz w:val="21"/>
          <w:szCs w:val="21"/>
          <w:highlight w:val="none"/>
        </w:rPr>
      </w:pPr>
      <w:r>
        <w:rPr>
          <w:rFonts w:hint="eastAsia" w:hAnsi="宋体" w:cs="宋体"/>
          <w:b/>
          <w:bCs/>
          <w:color w:val="auto"/>
          <w:sz w:val="21"/>
          <w:szCs w:val="21"/>
        </w:rPr>
        <w:t>注：</w:t>
      </w:r>
      <w:r>
        <w:rPr>
          <w:rFonts w:hint="eastAsia" w:ascii="宋体" w:hAnsi="宋体" w:cs="宋体"/>
          <w:b/>
          <w:bCs/>
          <w:color w:val="auto"/>
          <w:sz w:val="21"/>
          <w:szCs w:val="21"/>
        </w:rPr>
        <w:t>1、以</w:t>
      </w:r>
      <w:r>
        <w:rPr>
          <w:rFonts w:hint="eastAsia" w:ascii="宋体" w:hAnsi="宋体" w:cs="宋体"/>
          <w:b/>
          <w:bCs/>
          <w:color w:val="auto"/>
          <w:sz w:val="21"/>
          <w:szCs w:val="21"/>
          <w:highlight w:val="none"/>
        </w:rPr>
        <w:t>上打“★”号的为本次</w:t>
      </w:r>
      <w:r>
        <w:rPr>
          <w:rFonts w:hint="eastAsia" w:ascii="宋体" w:hAnsi="宋体" w:cs="宋体"/>
          <w:b/>
          <w:bCs/>
          <w:color w:val="auto"/>
          <w:sz w:val="21"/>
          <w:szCs w:val="21"/>
          <w:highlight w:val="none"/>
          <w:lang w:val="en-US" w:eastAsia="zh-CN"/>
        </w:rPr>
        <w:t>磋商</w:t>
      </w:r>
      <w:r>
        <w:rPr>
          <w:rFonts w:hint="eastAsia" w:ascii="宋体" w:hAnsi="宋体" w:cs="宋体"/>
          <w:b/>
          <w:bCs/>
          <w:color w:val="auto"/>
          <w:sz w:val="21"/>
          <w:szCs w:val="21"/>
          <w:highlight w:val="none"/>
        </w:rPr>
        <w:t>项目的实质性要求，不允许有负偏离。</w:t>
      </w:r>
    </w:p>
    <w:p w14:paraId="67295DC8">
      <w:pPr>
        <w:pStyle w:val="7"/>
        <w:snapToGrid w:val="0"/>
        <w:spacing w:line="360" w:lineRule="auto"/>
        <w:ind w:right="-92" w:rightChars="-44"/>
        <w:rPr>
          <w:rFonts w:hint="eastAsia" w:hAnsi="宋体" w:cs="宋体"/>
          <w:b/>
          <w:color w:val="auto"/>
          <w:sz w:val="21"/>
          <w:szCs w:val="21"/>
        </w:rPr>
      </w:pPr>
      <w:r>
        <w:rPr>
          <w:rFonts w:hint="eastAsia" w:hAnsi="宋体" w:cs="宋体"/>
          <w:b/>
          <w:color w:val="auto"/>
          <w:sz w:val="24"/>
          <w:szCs w:val="24"/>
          <w:highlight w:val="none"/>
        </w:rPr>
        <w:t xml:space="preserve"> </w:t>
      </w:r>
      <w:r>
        <w:rPr>
          <w:rFonts w:hint="eastAsia" w:hAnsi="宋体" w:cs="宋体"/>
          <w:b/>
          <w:color w:val="auto"/>
          <w:sz w:val="21"/>
          <w:szCs w:val="21"/>
          <w:highlight w:val="none"/>
        </w:rPr>
        <w:t xml:space="preserve">  </w:t>
      </w:r>
      <w:r>
        <w:rPr>
          <w:rFonts w:hint="eastAsia" w:hAnsi="宋体" w:cs="宋体"/>
          <w:b/>
          <w:color w:val="auto"/>
          <w:sz w:val="21"/>
          <w:szCs w:val="21"/>
          <w:highlight w:val="none"/>
          <w:lang w:val="en-US" w:eastAsia="zh-CN"/>
        </w:rPr>
        <w:t xml:space="preserve"> 2</w:t>
      </w:r>
      <w:r>
        <w:rPr>
          <w:rFonts w:hint="eastAsia" w:hAnsi="宋体" w:cs="宋体"/>
          <w:b/>
          <w:color w:val="auto"/>
          <w:sz w:val="21"/>
          <w:szCs w:val="21"/>
          <w:highlight w:val="none"/>
          <w:lang w:eastAsia="zh-CN"/>
        </w:rPr>
        <w:t>、</w:t>
      </w:r>
      <w:r>
        <w:rPr>
          <w:rFonts w:hint="eastAsia" w:hAnsi="宋体" w:cs="宋体"/>
          <w:b/>
          <w:color w:val="auto"/>
          <w:sz w:val="21"/>
          <w:szCs w:val="21"/>
          <w:highlight w:val="none"/>
        </w:rPr>
        <w:t>本章所包含的全部采购需求（本章第</w:t>
      </w:r>
      <w:r>
        <w:rPr>
          <w:rFonts w:hint="eastAsia" w:hAnsi="宋体" w:cs="宋体"/>
          <w:b/>
          <w:color w:val="auto"/>
          <w:sz w:val="21"/>
          <w:szCs w:val="21"/>
          <w:highlight w:val="none"/>
          <w:lang w:val="en-US" w:eastAsia="zh-CN"/>
        </w:rPr>
        <w:t>三</w:t>
      </w:r>
      <w:r>
        <w:rPr>
          <w:rFonts w:hint="eastAsia" w:hAnsi="宋体" w:cs="宋体"/>
          <w:b/>
          <w:color w:val="auto"/>
          <w:sz w:val="21"/>
          <w:szCs w:val="21"/>
          <w:highlight w:val="none"/>
        </w:rPr>
        <w:t>、技术参数具体内容</w:t>
      </w:r>
      <w:r>
        <w:rPr>
          <w:rFonts w:hint="eastAsia" w:hAnsi="宋体" w:cs="宋体"/>
          <w:b/>
          <w:color w:val="auto"/>
          <w:sz w:val="21"/>
          <w:szCs w:val="21"/>
          <w:highlight w:val="none"/>
          <w:lang w:val="en-US" w:eastAsia="zh-CN"/>
        </w:rPr>
        <w:t>，四</w:t>
      </w:r>
      <w:r>
        <w:rPr>
          <w:rFonts w:hint="eastAsia" w:hAnsi="宋体" w:cs="宋体"/>
          <w:b/>
          <w:color w:val="auto"/>
          <w:sz w:val="21"/>
          <w:szCs w:val="21"/>
          <w:highlight w:val="none"/>
        </w:rPr>
        <w:t>、</w:t>
      </w:r>
      <w:r>
        <w:rPr>
          <w:rFonts w:hint="eastAsia" w:hAnsi="宋体" w:cs="宋体"/>
          <w:b/>
          <w:color w:val="auto"/>
          <w:sz w:val="21"/>
          <w:szCs w:val="21"/>
          <w:highlight w:val="none"/>
          <w:lang w:val="en-US" w:eastAsia="zh-CN"/>
        </w:rPr>
        <w:t>商务要求</w:t>
      </w:r>
      <w:r>
        <w:rPr>
          <w:rFonts w:hint="eastAsia" w:hAnsi="宋体" w:cs="宋体"/>
          <w:b/>
          <w:color w:val="auto"/>
          <w:sz w:val="21"/>
          <w:szCs w:val="21"/>
          <w:highlight w:val="none"/>
        </w:rPr>
        <w:t>），在磋商过程中，磋商小组在获得采购人代表确认的前提下，可以根据磋商情况实质性变动相关内容。磋商小组对磋商文件作出的实质性变动是磋商文件的有效组成部分，磋商小组会及时以书面形式通知所有参加磋商</w:t>
      </w:r>
      <w:r>
        <w:rPr>
          <w:rFonts w:hint="eastAsia" w:hAnsi="宋体" w:cs="宋体"/>
          <w:b/>
          <w:color w:val="auto"/>
          <w:sz w:val="21"/>
          <w:szCs w:val="21"/>
        </w:rPr>
        <w:t>的供应商。</w:t>
      </w:r>
    </w:p>
    <w:p w14:paraId="1A1693D3">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4A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annotation text"/>
    <w:basedOn w:val="1"/>
    <w:qFormat/>
    <w:uiPriority w:val="0"/>
    <w:pPr>
      <w:jc w:val="left"/>
    </w:pPr>
    <w:rPr>
      <w:sz w:val="18"/>
      <w:szCs w:val="20"/>
    </w:rPr>
  </w:style>
  <w:style w:type="paragraph" w:styleId="5">
    <w:name w:val="Body Text"/>
    <w:basedOn w:val="1"/>
    <w:next w:val="1"/>
    <w:uiPriority w:val="0"/>
    <w:pPr>
      <w:spacing w:after="120"/>
    </w:pPr>
  </w:style>
  <w:style w:type="paragraph" w:styleId="6">
    <w:name w:val="Body Text Indent"/>
    <w:basedOn w:val="1"/>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ms Rmn"/>
      <w:kern w:val="0"/>
      <w:szCs w:val="20"/>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2025-07-08T09:04:33Z</dcterms:created>
  <dc:creator>Administrator</dc:creator>
  <cp:lastModifiedBy>智仟项目管理有限公司</cp:lastModifiedBy>
  <dcterms:modified xsi:type="dcterms:W3CDTF">2025-07-08T09:04:40Z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eyJoZGlkIjoiNzJjZjNhNTM0MGMxMWM3ODQ2OGFmZTM4MDRhYTc0YTkiLCJ1c2VySWQiOiIxMzA1NzgzNTE0In0=</vt:lpwstr>
  </property>
  <property fmtid="{D5CDD505-2E9C-101B-9397-08002B2CF9AE}" pid="4" name="ICV">
    <vt:lpwstr>84916978CE954534839E10D1EAA2B4EF_12</vt:lpwstr>
  </property>
</Properties>
</file>