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39FCA">
      <w:pPr>
        <w:jc w:val="center"/>
        <w:rPr>
          <w:rFonts w:hint="eastAsia"/>
          <w:b/>
          <w:bCs/>
          <w:sz w:val="32"/>
          <w:szCs w:val="40"/>
          <w:lang w:val="en-US" w:eastAsia="zh-CN"/>
        </w:rPr>
      </w:pPr>
      <w:r>
        <w:rPr>
          <w:rFonts w:hint="eastAsia"/>
          <w:b/>
          <w:bCs/>
          <w:sz w:val="32"/>
          <w:szCs w:val="40"/>
          <w:lang w:val="en-US" w:eastAsia="zh-CN"/>
        </w:rPr>
        <w:t>成都市第五人民医院分体式空调框架协议供应商遴选需求</w:t>
      </w:r>
    </w:p>
    <w:p w14:paraId="324AC204">
      <w:pPr>
        <w:jc w:val="center"/>
        <w:rPr>
          <w:rFonts w:hint="eastAsia"/>
          <w:b/>
          <w:bCs/>
          <w:sz w:val="32"/>
          <w:szCs w:val="40"/>
          <w:lang w:val="en-US" w:eastAsia="zh-CN"/>
        </w:rPr>
      </w:pPr>
      <w:r>
        <w:rPr>
          <w:rFonts w:hint="eastAsia"/>
          <w:b/>
          <w:bCs/>
          <w:sz w:val="32"/>
          <w:szCs w:val="40"/>
          <w:lang w:val="en-US" w:eastAsia="zh-CN"/>
        </w:rPr>
        <w:t>（格力</w:t>
      </w:r>
      <w:r>
        <w:rPr>
          <w:rFonts w:hint="eastAsia" w:ascii="仿宋_GB2312" w:hAnsi="仿宋_GB2312" w:eastAsia="仿宋_GB2312" w:cs="仿宋_GB2312"/>
          <w:b w:val="0"/>
          <w:bCs w:val="0"/>
          <w:i w:val="0"/>
          <w:iCs w:val="0"/>
          <w:color w:val="000000"/>
          <w:kern w:val="0"/>
          <w:sz w:val="24"/>
          <w:szCs w:val="24"/>
          <w:u w:val="none"/>
          <w:lang w:val="en-US" w:eastAsia="zh-CN" w:bidi="ar"/>
        </w:rPr>
        <w:t>KFR-72LW/(72542)FNhAa-B1 JY01</w:t>
      </w:r>
      <w:r>
        <w:rPr>
          <w:rFonts w:hint="eastAsia"/>
          <w:b/>
          <w:bCs/>
          <w:sz w:val="32"/>
          <w:szCs w:val="40"/>
          <w:lang w:val="en-US" w:eastAsia="zh-CN"/>
        </w:rPr>
        <w:t>）</w:t>
      </w:r>
      <w:bookmarkStart w:id="0" w:name="_GoBack"/>
      <w:bookmarkEnd w:id="0"/>
    </w:p>
    <w:p w14:paraId="4D0827BC">
      <w:pPr>
        <w:jc w:val="both"/>
        <w:rPr>
          <w:rFonts w:hint="eastAsia"/>
          <w:b/>
          <w:bCs/>
          <w:sz w:val="32"/>
          <w:szCs w:val="40"/>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4292"/>
        <w:gridCol w:w="2668"/>
        <w:gridCol w:w="855"/>
      </w:tblGrid>
      <w:tr w14:paraId="31DF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Pr>
          <w:p w14:paraId="3DC3B6C5">
            <w:pPr>
              <w:pStyle w:val="7"/>
              <w:spacing w:line="360" w:lineRule="exact"/>
              <w:ind w:right="57"/>
              <w:jc w:val="center"/>
              <w:rPr>
                <w:rFonts w:hint="eastAsia" w:ascii="Calibri" w:hAnsi="Calibri" w:eastAsia="宋体" w:cs="宋体"/>
                <w:b/>
                <w:bCs/>
                <w:snapToGrid/>
                <w:kern w:val="2"/>
                <w:sz w:val="21"/>
                <w:szCs w:val="21"/>
                <w:lang w:val="en-US" w:eastAsia="zh-CN" w:bidi="ar-SA"/>
              </w:rPr>
            </w:pPr>
            <w:r>
              <w:rPr>
                <w:rFonts w:hint="eastAsia" w:ascii="Calibri" w:hAnsi="Calibri" w:eastAsia="宋体" w:cs="宋体"/>
                <w:b/>
                <w:bCs/>
                <w:snapToGrid/>
                <w:kern w:val="2"/>
                <w:sz w:val="21"/>
                <w:szCs w:val="21"/>
                <w:lang w:val="en-US" w:eastAsia="zh-CN" w:bidi="ar-SA"/>
              </w:rPr>
              <w:t>序号</w:t>
            </w:r>
          </w:p>
        </w:tc>
        <w:tc>
          <w:tcPr>
            <w:tcW w:w="4292" w:type="dxa"/>
          </w:tcPr>
          <w:p w14:paraId="51186895">
            <w:pPr>
              <w:pStyle w:val="7"/>
              <w:spacing w:line="360" w:lineRule="exact"/>
              <w:ind w:right="57"/>
              <w:jc w:val="center"/>
              <w:rPr>
                <w:rFonts w:hint="eastAsia" w:ascii="Calibri" w:hAnsi="Calibri" w:eastAsia="宋体" w:cs="宋体"/>
                <w:b/>
                <w:bCs/>
                <w:snapToGrid/>
                <w:kern w:val="2"/>
                <w:sz w:val="21"/>
                <w:szCs w:val="21"/>
                <w:lang w:val="en-US" w:eastAsia="zh-CN" w:bidi="ar-SA"/>
              </w:rPr>
            </w:pPr>
            <w:r>
              <w:rPr>
                <w:rFonts w:hint="eastAsia" w:cs="宋体"/>
                <w:b/>
                <w:bCs/>
                <w:snapToGrid/>
                <w:kern w:val="2"/>
                <w:sz w:val="21"/>
                <w:szCs w:val="21"/>
                <w:lang w:val="en-US" w:eastAsia="zh-CN" w:bidi="ar-SA"/>
              </w:rPr>
              <w:t>需求调研</w:t>
            </w:r>
          </w:p>
        </w:tc>
        <w:tc>
          <w:tcPr>
            <w:tcW w:w="2668" w:type="dxa"/>
          </w:tcPr>
          <w:p w14:paraId="4CD45E71">
            <w:pPr>
              <w:pStyle w:val="7"/>
              <w:spacing w:line="360" w:lineRule="exact"/>
              <w:ind w:right="57"/>
              <w:jc w:val="center"/>
              <w:rPr>
                <w:rFonts w:hint="eastAsia" w:ascii="Calibri" w:hAnsi="Calibri" w:eastAsia="宋体" w:cs="宋体"/>
                <w:b/>
                <w:bCs/>
                <w:snapToGrid/>
                <w:kern w:val="2"/>
                <w:sz w:val="21"/>
                <w:szCs w:val="21"/>
                <w:lang w:val="en-US" w:eastAsia="zh-CN" w:bidi="ar-SA"/>
              </w:rPr>
            </w:pPr>
            <w:r>
              <w:rPr>
                <w:rFonts w:hint="eastAsia" w:cs="宋体"/>
                <w:b/>
                <w:bCs/>
                <w:snapToGrid/>
                <w:kern w:val="2"/>
                <w:sz w:val="21"/>
                <w:szCs w:val="21"/>
                <w:lang w:val="en-US" w:eastAsia="zh-CN" w:bidi="ar-SA"/>
              </w:rPr>
              <w:t>响应</w:t>
            </w:r>
          </w:p>
        </w:tc>
        <w:tc>
          <w:tcPr>
            <w:tcW w:w="855" w:type="dxa"/>
          </w:tcPr>
          <w:p w14:paraId="66048714">
            <w:pPr>
              <w:pStyle w:val="7"/>
              <w:spacing w:line="360" w:lineRule="exact"/>
              <w:ind w:right="57"/>
              <w:jc w:val="center"/>
              <w:rPr>
                <w:rFonts w:hint="eastAsia" w:ascii="Calibri" w:hAnsi="Calibri" w:eastAsia="宋体" w:cs="宋体"/>
                <w:b/>
                <w:bCs/>
                <w:snapToGrid/>
                <w:kern w:val="2"/>
                <w:sz w:val="21"/>
                <w:szCs w:val="21"/>
                <w:lang w:val="en-US" w:eastAsia="zh-CN" w:bidi="ar-SA"/>
              </w:rPr>
            </w:pPr>
            <w:r>
              <w:rPr>
                <w:rFonts w:hint="eastAsia" w:cs="宋体"/>
                <w:b/>
                <w:bCs/>
                <w:snapToGrid/>
                <w:kern w:val="2"/>
                <w:sz w:val="21"/>
                <w:szCs w:val="21"/>
                <w:lang w:val="en-US" w:eastAsia="zh-CN" w:bidi="ar-SA"/>
              </w:rPr>
              <w:t>得分</w:t>
            </w:r>
          </w:p>
        </w:tc>
      </w:tr>
      <w:tr w14:paraId="7FFE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707" w:type="dxa"/>
            <w:vAlign w:val="center"/>
          </w:tcPr>
          <w:p w14:paraId="1EC602A3">
            <w:pPr>
              <w:pStyle w:val="7"/>
              <w:spacing w:line="360" w:lineRule="exact"/>
              <w:ind w:right="57"/>
              <w:jc w:val="center"/>
              <w:rPr>
                <w:rFonts w:hint="default" w:ascii="Calibri" w:hAnsi="Calibri" w:eastAsia="宋体" w:cs="宋体"/>
                <w:snapToGrid/>
                <w:kern w:val="2"/>
                <w:sz w:val="21"/>
                <w:szCs w:val="21"/>
                <w:lang w:val="en-US" w:eastAsia="zh-CN" w:bidi="ar-SA"/>
              </w:rPr>
            </w:pPr>
            <w:r>
              <w:rPr>
                <w:rFonts w:hint="eastAsia" w:cs="宋体"/>
                <w:snapToGrid/>
                <w:kern w:val="2"/>
                <w:sz w:val="21"/>
                <w:szCs w:val="21"/>
                <w:lang w:val="en-US" w:eastAsia="zh-CN" w:bidi="ar-SA"/>
              </w:rPr>
              <w:t>1</w:t>
            </w:r>
          </w:p>
        </w:tc>
        <w:tc>
          <w:tcPr>
            <w:tcW w:w="4292" w:type="dxa"/>
          </w:tcPr>
          <w:p w14:paraId="59A8FB24">
            <w:pPr>
              <w:pStyle w:val="7"/>
              <w:spacing w:line="360" w:lineRule="exact"/>
              <w:ind w:right="57"/>
              <w:jc w:val="left"/>
              <w:rPr>
                <w:rFonts w:hint="default" w:ascii="Calibri" w:hAnsi="Calibri" w:eastAsia="宋体" w:cs="宋体"/>
                <w:snapToGrid/>
                <w:kern w:val="2"/>
                <w:sz w:val="21"/>
                <w:szCs w:val="21"/>
                <w:lang w:val="en-US" w:eastAsia="zh-CN" w:bidi="ar-SA"/>
              </w:rPr>
            </w:pPr>
            <w:r>
              <w:rPr>
                <w:rFonts w:hint="eastAsia" w:ascii="宋体" w:hAnsi="宋体" w:cs="宋体"/>
                <w:i w:val="0"/>
                <w:iCs w:val="0"/>
                <w:color w:val="000000"/>
                <w:kern w:val="0"/>
                <w:sz w:val="22"/>
                <w:szCs w:val="22"/>
                <w:u w:val="none"/>
                <w:lang w:val="en-US" w:eastAsia="zh-CN" w:bidi="ar"/>
              </w:rPr>
              <w:t>供应商</w:t>
            </w:r>
            <w:r>
              <w:rPr>
                <w:rFonts w:hint="eastAsia" w:ascii="宋体" w:hAnsi="宋体" w:eastAsia="宋体" w:cs="宋体"/>
                <w:i w:val="0"/>
                <w:iCs w:val="0"/>
                <w:color w:val="000000"/>
                <w:kern w:val="0"/>
                <w:sz w:val="22"/>
                <w:szCs w:val="22"/>
                <w:u w:val="none"/>
                <w:lang w:val="en-US" w:eastAsia="zh-CN" w:bidi="ar"/>
              </w:rPr>
              <w:t>2022年1月1日以来四川省内三甲综合医院空调销售业绩</w:t>
            </w:r>
            <w:r>
              <w:rPr>
                <w:rFonts w:hint="eastAsia" w:ascii="宋体" w:hAnsi="宋体" w:cs="宋体"/>
                <w:i w:val="0"/>
                <w:iCs w:val="0"/>
                <w:color w:val="000000"/>
                <w:kern w:val="0"/>
                <w:sz w:val="22"/>
                <w:szCs w:val="22"/>
                <w:u w:val="none"/>
                <w:lang w:val="en-US" w:eastAsia="zh-CN" w:bidi="ar"/>
              </w:rPr>
              <w:t>，可提供</w:t>
            </w:r>
            <w:r>
              <w:rPr>
                <w:rFonts w:hint="eastAsia" w:ascii="Calibri" w:hAnsi="Calibri" w:eastAsia="宋体" w:cs="宋体"/>
                <w:snapToGrid/>
                <w:kern w:val="2"/>
                <w:sz w:val="21"/>
                <w:szCs w:val="21"/>
                <w:lang w:val="en-US" w:eastAsia="zh-CN" w:bidi="ar-SA"/>
              </w:rPr>
              <w:t>中标/成交通知书复印件或合同复印件</w:t>
            </w:r>
            <w:r>
              <w:rPr>
                <w:rFonts w:hint="eastAsia" w:cs="宋体"/>
                <w:snapToGrid/>
                <w:kern w:val="2"/>
                <w:sz w:val="21"/>
                <w:szCs w:val="21"/>
                <w:lang w:val="en-US" w:eastAsia="zh-CN" w:bidi="ar-SA"/>
              </w:rPr>
              <w:t>，分值：4分/个，最多20分</w:t>
            </w:r>
          </w:p>
        </w:tc>
        <w:tc>
          <w:tcPr>
            <w:tcW w:w="2668" w:type="dxa"/>
          </w:tcPr>
          <w:p w14:paraId="250E7C31">
            <w:pPr>
              <w:pStyle w:val="7"/>
              <w:spacing w:line="360" w:lineRule="exact"/>
              <w:ind w:right="57"/>
              <w:jc w:val="center"/>
              <w:rPr>
                <w:rFonts w:hint="eastAsia" w:ascii="Calibri" w:hAnsi="Calibri" w:eastAsia="宋体" w:cs="宋体"/>
                <w:snapToGrid/>
                <w:kern w:val="2"/>
                <w:sz w:val="21"/>
                <w:szCs w:val="21"/>
                <w:lang w:val="en-US" w:eastAsia="zh-CN" w:bidi="ar-SA"/>
              </w:rPr>
            </w:pPr>
          </w:p>
        </w:tc>
        <w:tc>
          <w:tcPr>
            <w:tcW w:w="855" w:type="dxa"/>
          </w:tcPr>
          <w:p w14:paraId="4D3A68F0">
            <w:pPr>
              <w:pStyle w:val="7"/>
              <w:spacing w:line="360" w:lineRule="exact"/>
              <w:ind w:right="57"/>
              <w:jc w:val="center"/>
              <w:rPr>
                <w:rFonts w:hint="eastAsia" w:ascii="Calibri" w:hAnsi="Calibri" w:eastAsia="宋体" w:cs="宋体"/>
                <w:snapToGrid/>
                <w:kern w:val="2"/>
                <w:sz w:val="21"/>
                <w:szCs w:val="21"/>
                <w:lang w:val="en-US" w:eastAsia="zh-CN" w:bidi="ar-SA"/>
              </w:rPr>
            </w:pPr>
          </w:p>
        </w:tc>
      </w:tr>
      <w:tr w14:paraId="09CC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07" w:type="dxa"/>
            <w:vAlign w:val="center"/>
          </w:tcPr>
          <w:p w14:paraId="30F2252A">
            <w:pPr>
              <w:pStyle w:val="7"/>
              <w:spacing w:line="360" w:lineRule="exact"/>
              <w:ind w:right="57"/>
              <w:jc w:val="center"/>
              <w:rPr>
                <w:rFonts w:hint="default" w:ascii="Calibri" w:hAnsi="Calibri" w:eastAsia="宋体" w:cs="宋体"/>
                <w:snapToGrid/>
                <w:kern w:val="2"/>
                <w:sz w:val="21"/>
                <w:szCs w:val="21"/>
                <w:lang w:val="en-US" w:eastAsia="zh-CN" w:bidi="ar-SA"/>
              </w:rPr>
            </w:pPr>
            <w:r>
              <w:rPr>
                <w:rFonts w:hint="eastAsia" w:cs="宋体"/>
                <w:snapToGrid/>
                <w:kern w:val="2"/>
                <w:sz w:val="21"/>
                <w:szCs w:val="21"/>
                <w:lang w:val="en-US" w:eastAsia="zh-CN" w:bidi="ar-SA"/>
              </w:rPr>
              <w:t>2</w:t>
            </w:r>
          </w:p>
        </w:tc>
        <w:tc>
          <w:tcPr>
            <w:tcW w:w="4292" w:type="dxa"/>
          </w:tcPr>
          <w:p w14:paraId="2736FF14">
            <w:pPr>
              <w:pStyle w:val="7"/>
              <w:spacing w:line="360" w:lineRule="exact"/>
              <w:ind w:right="57"/>
              <w:jc w:val="left"/>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供应商可提供接到维修维护通知后需一小时内到场进行维修的服务承诺或者更优，（一小时得10分，每提前10分钟加2分）分值：10-20分</w:t>
            </w:r>
          </w:p>
        </w:tc>
        <w:tc>
          <w:tcPr>
            <w:tcW w:w="2668" w:type="dxa"/>
          </w:tcPr>
          <w:p w14:paraId="3B55BCA2">
            <w:pPr>
              <w:pStyle w:val="7"/>
              <w:spacing w:line="360" w:lineRule="exact"/>
              <w:ind w:right="57"/>
              <w:jc w:val="center"/>
              <w:rPr>
                <w:rFonts w:hint="eastAsia" w:ascii="Calibri" w:hAnsi="Calibri" w:eastAsia="宋体" w:cs="宋体"/>
                <w:snapToGrid/>
                <w:kern w:val="2"/>
                <w:sz w:val="21"/>
                <w:szCs w:val="21"/>
                <w:lang w:val="en-US" w:eastAsia="zh-CN" w:bidi="ar-SA"/>
              </w:rPr>
            </w:pPr>
          </w:p>
        </w:tc>
        <w:tc>
          <w:tcPr>
            <w:tcW w:w="855" w:type="dxa"/>
          </w:tcPr>
          <w:p w14:paraId="7AE6899D">
            <w:pPr>
              <w:pStyle w:val="7"/>
              <w:spacing w:line="360" w:lineRule="exact"/>
              <w:ind w:right="57"/>
              <w:jc w:val="center"/>
              <w:rPr>
                <w:rFonts w:hint="eastAsia" w:ascii="Calibri" w:hAnsi="Calibri" w:eastAsia="宋体" w:cs="宋体"/>
                <w:snapToGrid/>
                <w:kern w:val="2"/>
                <w:sz w:val="21"/>
                <w:szCs w:val="21"/>
                <w:lang w:val="en-US" w:eastAsia="zh-CN" w:bidi="ar-SA"/>
              </w:rPr>
            </w:pPr>
          </w:p>
        </w:tc>
      </w:tr>
      <w:tr w14:paraId="6EA6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07" w:type="dxa"/>
            <w:vAlign w:val="center"/>
          </w:tcPr>
          <w:p w14:paraId="297C7602">
            <w:pPr>
              <w:pStyle w:val="7"/>
              <w:spacing w:line="360" w:lineRule="exact"/>
              <w:ind w:right="57"/>
              <w:jc w:val="center"/>
              <w:rPr>
                <w:rFonts w:hint="default" w:cs="宋体"/>
                <w:snapToGrid/>
                <w:kern w:val="2"/>
                <w:sz w:val="21"/>
                <w:szCs w:val="21"/>
                <w:lang w:val="en-US" w:eastAsia="zh-CN" w:bidi="ar-SA"/>
              </w:rPr>
            </w:pPr>
            <w:r>
              <w:rPr>
                <w:rFonts w:hint="eastAsia" w:cs="宋体"/>
                <w:snapToGrid/>
                <w:kern w:val="2"/>
                <w:sz w:val="21"/>
                <w:szCs w:val="21"/>
                <w:lang w:val="en-US" w:eastAsia="zh-CN" w:bidi="ar-SA"/>
              </w:rPr>
              <w:t>3</w:t>
            </w:r>
          </w:p>
        </w:tc>
        <w:tc>
          <w:tcPr>
            <w:tcW w:w="4292" w:type="dxa"/>
          </w:tcPr>
          <w:p w14:paraId="154CFA0A">
            <w:pPr>
              <w:pStyle w:val="7"/>
              <w:spacing w:line="360" w:lineRule="exact"/>
              <w:ind w:right="57"/>
              <w:jc w:val="left"/>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供应商可提供质保期内每年免费深度清洗次数的服务承诺，10分/次，分值：10-20分</w:t>
            </w:r>
          </w:p>
        </w:tc>
        <w:tc>
          <w:tcPr>
            <w:tcW w:w="2668" w:type="dxa"/>
          </w:tcPr>
          <w:p w14:paraId="315B57E3">
            <w:pPr>
              <w:pStyle w:val="7"/>
              <w:spacing w:line="360" w:lineRule="exact"/>
              <w:ind w:right="57"/>
              <w:jc w:val="center"/>
              <w:rPr>
                <w:rFonts w:hint="eastAsia" w:ascii="Calibri" w:hAnsi="Calibri" w:eastAsia="宋体" w:cs="宋体"/>
                <w:snapToGrid/>
                <w:kern w:val="2"/>
                <w:sz w:val="21"/>
                <w:szCs w:val="21"/>
                <w:lang w:val="en-US" w:eastAsia="zh-CN" w:bidi="ar-SA"/>
              </w:rPr>
            </w:pPr>
          </w:p>
        </w:tc>
        <w:tc>
          <w:tcPr>
            <w:tcW w:w="855" w:type="dxa"/>
          </w:tcPr>
          <w:p w14:paraId="75C93184">
            <w:pPr>
              <w:pStyle w:val="7"/>
              <w:spacing w:line="360" w:lineRule="exact"/>
              <w:ind w:right="57"/>
              <w:jc w:val="center"/>
              <w:rPr>
                <w:rFonts w:hint="eastAsia" w:ascii="Calibri" w:hAnsi="Calibri" w:eastAsia="宋体" w:cs="宋体"/>
                <w:snapToGrid/>
                <w:kern w:val="2"/>
                <w:sz w:val="21"/>
                <w:szCs w:val="21"/>
                <w:lang w:val="en-US" w:eastAsia="zh-CN" w:bidi="ar-SA"/>
              </w:rPr>
            </w:pPr>
          </w:p>
        </w:tc>
      </w:tr>
      <w:tr w14:paraId="7496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707" w:type="dxa"/>
            <w:vAlign w:val="center"/>
          </w:tcPr>
          <w:p w14:paraId="0C0E6BEF">
            <w:pPr>
              <w:pStyle w:val="7"/>
              <w:spacing w:line="360" w:lineRule="exact"/>
              <w:ind w:right="57"/>
              <w:jc w:val="center"/>
              <w:rPr>
                <w:rFonts w:hint="default" w:cs="宋体"/>
                <w:snapToGrid/>
                <w:kern w:val="2"/>
                <w:sz w:val="21"/>
                <w:szCs w:val="21"/>
                <w:lang w:val="en-US" w:eastAsia="zh-CN" w:bidi="ar-SA"/>
              </w:rPr>
            </w:pPr>
            <w:r>
              <w:rPr>
                <w:rFonts w:hint="eastAsia" w:cs="宋体"/>
                <w:snapToGrid/>
                <w:kern w:val="2"/>
                <w:sz w:val="21"/>
                <w:szCs w:val="21"/>
                <w:lang w:val="en-US" w:eastAsia="zh-CN" w:bidi="ar-SA"/>
              </w:rPr>
              <w:t>4</w:t>
            </w:r>
          </w:p>
        </w:tc>
        <w:tc>
          <w:tcPr>
            <w:tcW w:w="4292" w:type="dxa"/>
          </w:tcPr>
          <w:p w14:paraId="626AAFF3">
            <w:pPr>
              <w:pStyle w:val="7"/>
              <w:spacing w:line="360" w:lineRule="exact"/>
              <w:ind w:right="57"/>
              <w:jc w:val="left"/>
              <w:rPr>
                <w:rFonts w:hint="eastAsia" w:ascii="宋体" w:hAnsi="宋体" w:cs="宋体"/>
                <w:i w:val="0"/>
                <w:iCs w:val="0"/>
                <w:color w:val="000000"/>
                <w:kern w:val="0"/>
                <w:sz w:val="22"/>
                <w:szCs w:val="22"/>
                <w:u w:val="none"/>
                <w:lang w:val="en-US" w:eastAsia="zh-CN" w:bidi="ar"/>
              </w:rPr>
            </w:pPr>
            <w:r>
              <w:rPr>
                <w:rFonts w:hint="eastAsia" w:cs="宋体"/>
                <w:snapToGrid/>
                <w:szCs w:val="21"/>
                <w:lang w:val="en-US" w:eastAsia="zh-CN"/>
              </w:rPr>
              <w:t>供应商拟派参加本项目</w:t>
            </w:r>
            <w:r>
              <w:rPr>
                <w:rFonts w:hint="eastAsia" w:cs="宋体"/>
                <w:b w:val="0"/>
                <w:bCs w:val="0"/>
                <w:snapToGrid/>
                <w:szCs w:val="21"/>
                <w:lang w:val="en-US" w:eastAsia="zh-CN"/>
              </w:rPr>
              <w:t>实施的专业安装人员</w:t>
            </w:r>
            <w:r>
              <w:rPr>
                <w:rFonts w:hint="eastAsia" w:cs="宋体"/>
                <w:snapToGrid/>
                <w:szCs w:val="21"/>
                <w:lang w:val="en-US" w:eastAsia="zh-CN"/>
              </w:rPr>
              <w:t>具有由中华人民共和国应急管理部监制的特种作业操作证，操作证包含高处作业、电工作业、焊接与热切割作业、制冷与空调作业，每有一类作业操作证得2分，相同种类证书不重复计分，可</w:t>
            </w:r>
            <w:r>
              <w:rPr>
                <w:rFonts w:hint="eastAsia" w:cs="宋体"/>
                <w:b w:val="0"/>
                <w:bCs w:val="0"/>
                <w:snapToGrid/>
                <w:szCs w:val="21"/>
                <w:lang w:val="en-US" w:eastAsia="zh-CN"/>
              </w:rPr>
              <w:t>提供证书复印件加盖投标人公章。</w:t>
            </w:r>
            <w:r>
              <w:rPr>
                <w:rFonts w:hint="eastAsia" w:cs="宋体"/>
                <w:snapToGrid/>
                <w:szCs w:val="21"/>
                <w:lang w:val="en-US" w:eastAsia="zh-CN"/>
              </w:rPr>
              <w:t>分值：最多20分。</w:t>
            </w:r>
          </w:p>
        </w:tc>
        <w:tc>
          <w:tcPr>
            <w:tcW w:w="2668" w:type="dxa"/>
          </w:tcPr>
          <w:p w14:paraId="09672FE1">
            <w:pPr>
              <w:pStyle w:val="7"/>
              <w:spacing w:line="360" w:lineRule="exact"/>
              <w:ind w:right="57"/>
              <w:jc w:val="center"/>
              <w:rPr>
                <w:rFonts w:hint="eastAsia" w:ascii="Calibri" w:hAnsi="Calibri" w:eastAsia="宋体" w:cs="宋体"/>
                <w:snapToGrid/>
                <w:kern w:val="2"/>
                <w:sz w:val="21"/>
                <w:szCs w:val="21"/>
                <w:lang w:val="en-US" w:eastAsia="zh-CN" w:bidi="ar-SA"/>
              </w:rPr>
            </w:pPr>
          </w:p>
        </w:tc>
        <w:tc>
          <w:tcPr>
            <w:tcW w:w="855" w:type="dxa"/>
          </w:tcPr>
          <w:p w14:paraId="5A068A84">
            <w:pPr>
              <w:pStyle w:val="7"/>
              <w:spacing w:line="360" w:lineRule="exact"/>
              <w:ind w:right="57"/>
              <w:jc w:val="center"/>
              <w:rPr>
                <w:rFonts w:hint="eastAsia" w:ascii="Calibri" w:hAnsi="Calibri" w:eastAsia="宋体" w:cs="宋体"/>
                <w:snapToGrid/>
                <w:kern w:val="2"/>
                <w:sz w:val="21"/>
                <w:szCs w:val="21"/>
                <w:lang w:val="en-US" w:eastAsia="zh-CN" w:bidi="ar-SA"/>
              </w:rPr>
            </w:pPr>
          </w:p>
        </w:tc>
      </w:tr>
      <w:tr w14:paraId="60A4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707" w:type="dxa"/>
            <w:vAlign w:val="center"/>
          </w:tcPr>
          <w:p w14:paraId="2380B5B6">
            <w:pPr>
              <w:pStyle w:val="7"/>
              <w:spacing w:line="360" w:lineRule="exact"/>
              <w:ind w:right="57"/>
              <w:jc w:val="center"/>
              <w:rPr>
                <w:rFonts w:hint="default" w:cs="宋体"/>
                <w:snapToGrid/>
                <w:kern w:val="2"/>
                <w:sz w:val="21"/>
                <w:szCs w:val="21"/>
                <w:lang w:val="en-US" w:eastAsia="zh-CN" w:bidi="ar-SA"/>
              </w:rPr>
            </w:pPr>
            <w:r>
              <w:rPr>
                <w:rFonts w:hint="eastAsia" w:cs="宋体"/>
                <w:snapToGrid/>
                <w:kern w:val="2"/>
                <w:sz w:val="21"/>
                <w:szCs w:val="21"/>
                <w:lang w:val="en-US" w:eastAsia="zh-CN" w:bidi="ar-SA"/>
              </w:rPr>
              <w:t>5</w:t>
            </w:r>
          </w:p>
        </w:tc>
        <w:tc>
          <w:tcPr>
            <w:tcW w:w="4292" w:type="dxa"/>
          </w:tcPr>
          <w:p w14:paraId="153D9762">
            <w:pPr>
              <w:pStyle w:val="7"/>
              <w:spacing w:line="360" w:lineRule="exact"/>
              <w:ind w:right="57"/>
              <w:jc w:val="center"/>
              <w:rPr>
                <w:rFonts w:hint="eastAsia"/>
                <w:lang w:eastAsia="zh-CN"/>
              </w:rPr>
            </w:pPr>
            <w:r>
              <w:rPr>
                <w:rFonts w:hint="eastAsia"/>
                <w:lang w:eastAsia="zh-CN"/>
              </w:rPr>
              <w:t>供应商</w:t>
            </w:r>
            <w:r>
              <w:rPr>
                <w:rFonts w:hint="eastAsia"/>
              </w:rPr>
              <w:t>具有空调通风系统专业清洗资格证书、中央空调清洗专业技术评估证书得</w:t>
            </w:r>
            <w:r>
              <w:rPr>
                <w:rFonts w:hint="eastAsia"/>
                <w:lang w:val="en-US" w:eastAsia="zh-CN"/>
              </w:rPr>
              <w:t>10</w:t>
            </w:r>
            <w:r>
              <w:rPr>
                <w:rFonts w:hint="eastAsia"/>
              </w:rPr>
              <w:t>分，没有或不全不得分；</w:t>
            </w:r>
            <w:r>
              <w:rPr>
                <w:rFonts w:hint="eastAsia"/>
                <w:lang w:eastAsia="zh-CN"/>
              </w:rPr>
              <w:t>分值：</w:t>
            </w:r>
            <w:r>
              <w:rPr>
                <w:rFonts w:hint="eastAsia"/>
              </w:rPr>
              <w:t>最多</w:t>
            </w:r>
            <w:r>
              <w:rPr>
                <w:rFonts w:hint="eastAsia"/>
                <w:lang w:val="en-US" w:eastAsia="zh-CN"/>
              </w:rPr>
              <w:t>10</w:t>
            </w:r>
            <w:r>
              <w:rPr>
                <w:rFonts w:hint="eastAsia"/>
              </w:rPr>
              <w:t>分。</w:t>
            </w:r>
          </w:p>
        </w:tc>
        <w:tc>
          <w:tcPr>
            <w:tcW w:w="2668" w:type="dxa"/>
          </w:tcPr>
          <w:p w14:paraId="3EDBCC3B">
            <w:pPr>
              <w:pStyle w:val="7"/>
              <w:spacing w:line="360" w:lineRule="exact"/>
              <w:ind w:right="57"/>
              <w:jc w:val="center"/>
              <w:rPr>
                <w:rFonts w:hint="eastAsia" w:ascii="Calibri" w:hAnsi="Calibri" w:eastAsia="宋体" w:cs="宋体"/>
                <w:snapToGrid/>
                <w:kern w:val="2"/>
                <w:sz w:val="21"/>
                <w:szCs w:val="21"/>
                <w:lang w:val="en-US" w:eastAsia="zh-CN" w:bidi="ar-SA"/>
              </w:rPr>
            </w:pPr>
          </w:p>
        </w:tc>
        <w:tc>
          <w:tcPr>
            <w:tcW w:w="855" w:type="dxa"/>
          </w:tcPr>
          <w:p w14:paraId="0AA3C231">
            <w:pPr>
              <w:pStyle w:val="7"/>
              <w:spacing w:line="360" w:lineRule="exact"/>
              <w:ind w:right="57"/>
              <w:jc w:val="center"/>
              <w:rPr>
                <w:rFonts w:hint="eastAsia" w:ascii="Calibri" w:hAnsi="Calibri" w:eastAsia="宋体" w:cs="宋体"/>
                <w:snapToGrid/>
                <w:kern w:val="2"/>
                <w:sz w:val="21"/>
                <w:szCs w:val="21"/>
                <w:lang w:val="en-US" w:eastAsia="zh-CN" w:bidi="ar-SA"/>
              </w:rPr>
            </w:pPr>
          </w:p>
        </w:tc>
      </w:tr>
      <w:tr w14:paraId="2B62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707" w:type="dxa"/>
            <w:vAlign w:val="center"/>
          </w:tcPr>
          <w:p w14:paraId="155AA8D8">
            <w:pPr>
              <w:pStyle w:val="7"/>
              <w:spacing w:line="360" w:lineRule="exact"/>
              <w:ind w:right="57"/>
              <w:jc w:val="center"/>
              <w:rPr>
                <w:rFonts w:hint="default" w:cs="宋体"/>
                <w:snapToGrid/>
                <w:kern w:val="2"/>
                <w:sz w:val="21"/>
                <w:szCs w:val="21"/>
                <w:lang w:val="en-US" w:eastAsia="zh-CN" w:bidi="ar-SA"/>
              </w:rPr>
            </w:pPr>
            <w:r>
              <w:rPr>
                <w:rFonts w:hint="eastAsia" w:cs="宋体"/>
                <w:snapToGrid/>
                <w:kern w:val="2"/>
                <w:sz w:val="21"/>
                <w:szCs w:val="21"/>
                <w:lang w:val="en-US" w:eastAsia="zh-CN" w:bidi="ar-SA"/>
              </w:rPr>
              <w:t>6</w:t>
            </w:r>
          </w:p>
        </w:tc>
        <w:tc>
          <w:tcPr>
            <w:tcW w:w="4292" w:type="dxa"/>
          </w:tcPr>
          <w:p w14:paraId="56A6F9D8">
            <w:pPr>
              <w:pStyle w:val="7"/>
              <w:spacing w:line="360" w:lineRule="exact"/>
              <w:ind w:right="57"/>
              <w:jc w:val="center"/>
              <w:rPr>
                <w:rFonts w:hint="eastAsia"/>
              </w:rPr>
            </w:pPr>
            <w:r>
              <w:rPr>
                <w:rFonts w:hint="eastAsia"/>
                <w:lang w:eastAsia="zh-CN"/>
              </w:rPr>
              <w:t>供应商</w:t>
            </w:r>
            <w:r>
              <w:rPr>
                <w:rFonts w:hint="eastAsia"/>
              </w:rPr>
              <w:t>具备制冷空调维修维保资格证书，且服务项目包含：家用/商用制冷空调设备维修维保得</w:t>
            </w:r>
            <w:r>
              <w:rPr>
                <w:rFonts w:hint="eastAsia"/>
                <w:lang w:val="en-US" w:eastAsia="zh-CN"/>
              </w:rPr>
              <w:t>10</w:t>
            </w:r>
            <w:r>
              <w:rPr>
                <w:rFonts w:hint="eastAsia"/>
              </w:rPr>
              <w:t>分，没有不得分</w:t>
            </w:r>
            <w:r>
              <w:rPr>
                <w:rFonts w:hint="eastAsia"/>
                <w:lang w:val="en-US" w:eastAsia="zh-CN"/>
              </w:rPr>
              <w:t>。分值：</w:t>
            </w:r>
            <w:r>
              <w:rPr>
                <w:rFonts w:hint="eastAsia"/>
              </w:rPr>
              <w:t>最多</w:t>
            </w:r>
            <w:r>
              <w:rPr>
                <w:rFonts w:hint="eastAsia"/>
                <w:lang w:val="en-US" w:eastAsia="zh-CN"/>
              </w:rPr>
              <w:t>10</w:t>
            </w:r>
            <w:r>
              <w:rPr>
                <w:rFonts w:hint="eastAsia"/>
              </w:rPr>
              <w:t>分。</w:t>
            </w:r>
          </w:p>
        </w:tc>
        <w:tc>
          <w:tcPr>
            <w:tcW w:w="2668" w:type="dxa"/>
          </w:tcPr>
          <w:p w14:paraId="3A1B1C73">
            <w:pPr>
              <w:pStyle w:val="7"/>
              <w:spacing w:line="360" w:lineRule="exact"/>
              <w:ind w:right="57"/>
              <w:jc w:val="center"/>
              <w:rPr>
                <w:rFonts w:hint="eastAsia" w:ascii="Calibri" w:hAnsi="Calibri" w:eastAsia="宋体" w:cs="宋体"/>
                <w:snapToGrid/>
                <w:kern w:val="2"/>
                <w:sz w:val="21"/>
                <w:szCs w:val="21"/>
                <w:lang w:val="en-US" w:eastAsia="zh-CN" w:bidi="ar-SA"/>
              </w:rPr>
            </w:pPr>
          </w:p>
        </w:tc>
        <w:tc>
          <w:tcPr>
            <w:tcW w:w="855" w:type="dxa"/>
          </w:tcPr>
          <w:p w14:paraId="47A0BCFF">
            <w:pPr>
              <w:pStyle w:val="7"/>
              <w:spacing w:line="360" w:lineRule="exact"/>
              <w:ind w:right="57"/>
              <w:jc w:val="center"/>
              <w:rPr>
                <w:rFonts w:hint="eastAsia" w:ascii="Calibri" w:hAnsi="Calibri" w:eastAsia="宋体" w:cs="宋体"/>
                <w:snapToGrid/>
                <w:kern w:val="2"/>
                <w:sz w:val="21"/>
                <w:szCs w:val="21"/>
                <w:lang w:val="en-US" w:eastAsia="zh-CN" w:bidi="ar-SA"/>
              </w:rPr>
            </w:pPr>
          </w:p>
        </w:tc>
      </w:tr>
    </w:tbl>
    <w:p w14:paraId="3E5192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04E3F"/>
    <w:rsid w:val="0E090D4C"/>
    <w:rsid w:val="10EA5C66"/>
    <w:rsid w:val="1AC13CC8"/>
    <w:rsid w:val="1CCD6AD3"/>
    <w:rsid w:val="221326B6"/>
    <w:rsid w:val="24EF5187"/>
    <w:rsid w:val="2C2C6C04"/>
    <w:rsid w:val="2EFC0494"/>
    <w:rsid w:val="31044BF9"/>
    <w:rsid w:val="320B64C0"/>
    <w:rsid w:val="44501F88"/>
    <w:rsid w:val="4C2E525E"/>
    <w:rsid w:val="4C5F3864"/>
    <w:rsid w:val="5F501346"/>
    <w:rsid w:val="612D46E9"/>
    <w:rsid w:val="62827EC8"/>
    <w:rsid w:val="64B8256B"/>
    <w:rsid w:val="75224C45"/>
    <w:rsid w:val="79381C41"/>
    <w:rsid w:val="79F23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01、普通正文"/>
    <w:basedOn w:val="1"/>
    <w:autoRedefine/>
    <w:qFormat/>
    <w:uiPriority w:val="0"/>
    <w:pPr>
      <w:tabs>
        <w:tab w:val="left" w:pos="0"/>
      </w:tabs>
      <w:wordWrap w:val="0"/>
      <w:topLinePunct/>
    </w:pPr>
    <w:rPr>
      <w:snapToGrid w:val="0"/>
    </w:rPr>
  </w:style>
  <w:style w:type="paragraph" w:customStyle="1" w:styleId="8">
    <w:name w:val="12、表格内左对齐正文"/>
    <w:basedOn w:val="1"/>
    <w:autoRedefine/>
    <w:qFormat/>
    <w:uiPriority w:val="0"/>
    <w:pPr>
      <w:tabs>
        <w:tab w:val="left" w:pos="0"/>
      </w:tabs>
      <w:wordWrap w:val="0"/>
      <w:topLinePunct/>
      <w:spacing w:line="360" w:lineRule="exact"/>
      <w:ind w:left="48" w:leftChars="20"/>
    </w:pPr>
    <w:rPr>
      <w:snapToGrid w:val="0"/>
      <w:sz w:val="21"/>
    </w:rPr>
  </w:style>
  <w:style w:type="paragraph" w:customStyle="1" w:styleId="9">
    <w:name w:val="13、表格内居中正文"/>
    <w:basedOn w:val="1"/>
    <w:autoRedefine/>
    <w:qFormat/>
    <w:uiPriority w:val="0"/>
    <w:pPr>
      <w:tabs>
        <w:tab w:val="left" w:pos="0"/>
      </w:tabs>
      <w:wordWrap w:val="0"/>
      <w:topLinePunct/>
      <w:spacing w:line="360" w:lineRule="exact"/>
      <w:jc w:val="center"/>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441</Words>
  <Characters>487</Characters>
  <Lines>0</Lines>
  <Paragraphs>0</Paragraphs>
  <TotalTime>34</TotalTime>
  <ScaleCrop>false</ScaleCrop>
  <LinksUpToDate>false</LinksUpToDate>
  <CharactersWithSpaces>488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2025-07-10T02:53:00Z</dcterms:created>
  <dc:creator>Administrator</dc:creator>
  <cp:lastModifiedBy>小波</cp:lastModifiedBy>
  <cp:lastPrinted>2025-07-10T07:12:00Z</cp:lastPrinted>
  <dcterms:modified xsi:type="dcterms:W3CDTF">2025-07-10T08:03:16Z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eyJoZGlkIjoiZjM1ZWVlZjIyMzUyOGI5ODE1OWU1MGUwZjdhNjg3ZDkiLCJ1c2VySWQiOiI0OTUwMDk2MzMifQ==</vt:lpwstr>
  </property>
  <property fmtid="{D5CDD505-2E9C-101B-9397-08002B2CF9AE}" pid="4" name="ICV">
    <vt:lpwstr>1DE304E1B7274D48BEA3C2DE1630E0EF_13</vt:lpwstr>
  </property>
</Properties>
</file>