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10AA7E">
      <w:pPr>
        <w:jc w:val="center"/>
        <w:rPr>
          <w:rFonts w:hint="eastAsia" w:ascii="仿宋" w:hAnsi="仿宋" w:eastAsia="仿宋" w:cs="仿宋"/>
          <w:color w:val="auto"/>
          <w:sz w:val="52"/>
          <w:szCs w:val="52"/>
          <w:highlight w:val="none"/>
        </w:rPr>
      </w:pPr>
      <w:bookmarkStart w:id="47" w:name="_GoBack"/>
      <w:bookmarkEnd w:id="47"/>
    </w:p>
    <w:p w14:paraId="4322EAAB">
      <w:pPr>
        <w:jc w:val="center"/>
        <w:rPr>
          <w:rFonts w:hint="eastAsia" w:ascii="仿宋" w:hAnsi="仿宋" w:eastAsia="仿宋" w:cs="仿宋"/>
          <w:color w:val="auto"/>
          <w:sz w:val="52"/>
          <w:szCs w:val="52"/>
          <w:highlight w:val="none"/>
        </w:rPr>
      </w:pPr>
    </w:p>
    <w:p w14:paraId="465FC8D7">
      <w:pPr>
        <w:jc w:val="center"/>
        <w:rPr>
          <w:rFonts w:hint="eastAsia" w:ascii="仿宋" w:hAnsi="仿宋" w:eastAsia="仿宋" w:cs="仿宋"/>
          <w:color w:val="auto"/>
          <w:sz w:val="84"/>
          <w:szCs w:val="84"/>
          <w:highlight w:val="none"/>
        </w:rPr>
      </w:pPr>
    </w:p>
    <w:p w14:paraId="7B0BCA38">
      <w:pPr>
        <w:jc w:val="center"/>
        <w:rPr>
          <w:rFonts w:hint="eastAsia" w:ascii="仿宋" w:hAnsi="仿宋" w:eastAsia="仿宋" w:cs="仿宋"/>
          <w:color w:val="auto"/>
          <w:sz w:val="84"/>
          <w:szCs w:val="84"/>
          <w:highlight w:val="none"/>
        </w:rPr>
      </w:pPr>
      <w:r>
        <w:rPr>
          <w:rFonts w:hint="eastAsia" w:ascii="仿宋" w:hAnsi="仿宋" w:eastAsia="仿宋" w:cs="仿宋"/>
          <w:color w:val="auto"/>
          <w:sz w:val="84"/>
          <w:szCs w:val="84"/>
          <w:highlight w:val="none"/>
        </w:rPr>
        <w:t>竞争性谈判文件</w:t>
      </w:r>
    </w:p>
    <w:p w14:paraId="4B591006">
      <w:pPr>
        <w:jc w:val="center"/>
        <w:rPr>
          <w:rFonts w:hint="eastAsia" w:ascii="仿宋" w:hAnsi="仿宋" w:eastAsia="仿宋" w:cs="仿宋"/>
          <w:color w:val="auto"/>
          <w:sz w:val="52"/>
          <w:szCs w:val="52"/>
          <w:highlight w:val="none"/>
        </w:rPr>
      </w:pPr>
    </w:p>
    <w:p w14:paraId="7612C65A">
      <w:pPr>
        <w:jc w:val="center"/>
        <w:rPr>
          <w:rFonts w:hint="eastAsia" w:ascii="仿宋" w:hAnsi="仿宋" w:eastAsia="仿宋" w:cs="仿宋"/>
          <w:color w:val="auto"/>
          <w:sz w:val="52"/>
          <w:szCs w:val="52"/>
          <w:highlight w:val="none"/>
        </w:rPr>
      </w:pPr>
    </w:p>
    <w:p w14:paraId="599886A9">
      <w:pPr>
        <w:jc w:val="center"/>
        <w:rPr>
          <w:rFonts w:hint="eastAsia" w:ascii="仿宋" w:hAnsi="仿宋" w:eastAsia="仿宋" w:cs="仿宋"/>
          <w:color w:val="auto"/>
          <w:sz w:val="52"/>
          <w:szCs w:val="52"/>
          <w:highlight w:val="none"/>
        </w:rPr>
      </w:pPr>
    </w:p>
    <w:p w14:paraId="758E3699">
      <w:pPr>
        <w:jc w:val="center"/>
        <w:rPr>
          <w:rFonts w:hint="eastAsia" w:ascii="仿宋" w:hAnsi="仿宋" w:eastAsia="仿宋" w:cs="仿宋"/>
          <w:color w:val="auto"/>
          <w:sz w:val="84"/>
          <w:szCs w:val="84"/>
          <w:highlight w:val="none"/>
        </w:rPr>
      </w:pPr>
    </w:p>
    <w:p w14:paraId="2F81BC42">
      <w:pPr>
        <w:jc w:val="left"/>
        <w:rPr>
          <w:rFonts w:hint="eastAsia" w:ascii="仿宋" w:hAnsi="仿宋" w:eastAsia="仿宋" w:cs="仿宋"/>
          <w:color w:val="auto"/>
          <w:sz w:val="32"/>
          <w:szCs w:val="32"/>
          <w:highlight w:val="none"/>
          <w:u w:val="single"/>
          <w:lang w:eastAsia="zh-CN"/>
        </w:rPr>
      </w:pPr>
      <w:r>
        <w:rPr>
          <w:rFonts w:hint="eastAsia" w:ascii="仿宋" w:hAnsi="仿宋" w:eastAsia="仿宋" w:cs="仿宋"/>
          <w:color w:val="auto"/>
          <w:sz w:val="32"/>
          <w:szCs w:val="32"/>
          <w:highlight w:val="none"/>
        </w:rPr>
        <w:t>项目编号：</w:t>
      </w:r>
      <w:r>
        <w:rPr>
          <w:rFonts w:hint="eastAsia" w:ascii="仿宋" w:hAnsi="仿宋" w:eastAsia="仿宋" w:cs="仿宋"/>
          <w:color w:val="auto"/>
          <w:sz w:val="32"/>
          <w:szCs w:val="32"/>
          <w:highlight w:val="none"/>
          <w:u w:val="single"/>
          <w:lang w:eastAsia="zh-CN"/>
        </w:rPr>
        <w:t>XYXG2025033</w:t>
      </w:r>
    </w:p>
    <w:p w14:paraId="399F84CF">
      <w:pPr>
        <w:jc w:val="left"/>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项目名称：</w:t>
      </w:r>
      <w:r>
        <w:rPr>
          <w:rFonts w:hint="eastAsia" w:ascii="仿宋" w:hAnsi="仿宋" w:eastAsia="仿宋" w:cs="仿宋"/>
          <w:color w:val="auto"/>
          <w:sz w:val="32"/>
          <w:szCs w:val="32"/>
          <w:highlight w:val="none"/>
          <w:u w:val="single"/>
          <w:lang w:val="en-US" w:eastAsia="zh-CN"/>
        </w:rPr>
        <w:t>自贡市自然资源统一确权（四川自贡恐龙国家地质公园、四川省飞龙峡省级森林公园）项目</w:t>
      </w:r>
    </w:p>
    <w:p w14:paraId="4E921E4C">
      <w:pPr>
        <w:jc w:val="left"/>
        <w:rPr>
          <w:rFonts w:hint="eastAsia" w:ascii="仿宋" w:hAnsi="仿宋" w:eastAsia="仿宋" w:cs="仿宋"/>
          <w:bCs/>
          <w:color w:val="auto"/>
          <w:sz w:val="32"/>
          <w:szCs w:val="32"/>
          <w:highlight w:val="none"/>
          <w:u w:val="single"/>
          <w:lang w:val="en-US" w:eastAsia="zh-CN"/>
        </w:rPr>
      </w:pPr>
      <w:r>
        <w:rPr>
          <w:rFonts w:hint="eastAsia" w:ascii="仿宋" w:hAnsi="仿宋" w:eastAsia="仿宋" w:cs="仿宋"/>
          <w:color w:val="auto"/>
          <w:sz w:val="32"/>
          <w:szCs w:val="32"/>
          <w:highlight w:val="none"/>
        </w:rPr>
        <w:t>采 购 人：</w:t>
      </w:r>
      <w:r>
        <w:rPr>
          <w:rFonts w:hint="eastAsia" w:ascii="仿宋" w:hAnsi="仿宋" w:eastAsia="仿宋" w:cs="仿宋"/>
          <w:bCs/>
          <w:color w:val="auto"/>
          <w:sz w:val="32"/>
          <w:szCs w:val="32"/>
          <w:highlight w:val="none"/>
          <w:u w:val="single"/>
          <w:lang w:eastAsia="zh-CN"/>
        </w:rPr>
        <w:t>自贡市自然资源和规划局</w:t>
      </w:r>
    </w:p>
    <w:p w14:paraId="494CFF73">
      <w:pPr>
        <w:jc w:val="left"/>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采购代理机构：</w:t>
      </w:r>
      <w:r>
        <w:rPr>
          <w:rFonts w:hint="eastAsia" w:ascii="仿宋" w:hAnsi="仿宋" w:eastAsia="仿宋" w:cs="仿宋"/>
          <w:color w:val="auto"/>
          <w:sz w:val="32"/>
          <w:szCs w:val="32"/>
          <w:highlight w:val="none"/>
          <w:u w:val="single"/>
          <w:lang w:eastAsia="zh-CN"/>
        </w:rPr>
        <w:t>四川鑫益工程项目管理有限公司</w:t>
      </w:r>
    </w:p>
    <w:p w14:paraId="28ED9DA2">
      <w:pPr>
        <w:jc w:val="center"/>
        <w:rPr>
          <w:rFonts w:hint="eastAsia" w:ascii="仿宋" w:hAnsi="仿宋" w:eastAsia="仿宋" w:cs="仿宋"/>
          <w:color w:val="auto"/>
          <w:sz w:val="32"/>
          <w:szCs w:val="32"/>
          <w:highlight w:val="none"/>
          <w:u w:val="single"/>
        </w:rPr>
      </w:pPr>
    </w:p>
    <w:p w14:paraId="13BD6D21">
      <w:pPr>
        <w:jc w:val="center"/>
        <w:rPr>
          <w:rFonts w:hint="eastAsia" w:ascii="仿宋" w:hAnsi="仿宋" w:eastAsia="仿宋" w:cs="仿宋"/>
          <w:color w:val="auto"/>
          <w:sz w:val="84"/>
          <w:szCs w:val="84"/>
          <w:highlight w:val="none"/>
        </w:rPr>
      </w:pPr>
      <w:r>
        <w:rPr>
          <w:rFonts w:hint="eastAsia" w:ascii="仿宋" w:hAnsi="仿宋" w:eastAsia="仿宋" w:cs="仿宋"/>
          <w:color w:val="auto"/>
          <w:sz w:val="32"/>
          <w:szCs w:val="32"/>
          <w:highlight w:val="none"/>
          <w:u w:val="none"/>
        </w:rPr>
        <w:t>二〇二</w:t>
      </w:r>
      <w:r>
        <w:rPr>
          <w:rFonts w:hint="eastAsia" w:ascii="仿宋" w:hAnsi="仿宋" w:eastAsia="仿宋" w:cs="仿宋"/>
          <w:color w:val="auto"/>
          <w:sz w:val="32"/>
          <w:szCs w:val="32"/>
          <w:highlight w:val="none"/>
          <w:u w:val="none"/>
          <w:lang w:eastAsia="zh-CN"/>
        </w:rPr>
        <w:t>五</w:t>
      </w:r>
      <w:r>
        <w:rPr>
          <w:rFonts w:hint="eastAsia" w:ascii="仿宋" w:hAnsi="仿宋" w:eastAsia="仿宋" w:cs="仿宋"/>
          <w:color w:val="auto"/>
          <w:sz w:val="32"/>
          <w:szCs w:val="32"/>
          <w:highlight w:val="none"/>
          <w:u w:val="none"/>
        </w:rPr>
        <w:t>年</w:t>
      </w:r>
      <w:r>
        <w:rPr>
          <w:rFonts w:hint="eastAsia" w:ascii="仿宋" w:hAnsi="仿宋" w:eastAsia="仿宋" w:cs="仿宋"/>
          <w:color w:val="auto"/>
          <w:sz w:val="32"/>
          <w:szCs w:val="32"/>
          <w:highlight w:val="none"/>
          <w:u w:val="none"/>
          <w:lang w:val="en-US" w:eastAsia="zh-CN"/>
        </w:rPr>
        <w:t>七</w:t>
      </w:r>
      <w:r>
        <w:rPr>
          <w:rFonts w:hint="eastAsia" w:ascii="仿宋" w:hAnsi="仿宋" w:eastAsia="仿宋" w:cs="仿宋"/>
          <w:color w:val="auto"/>
          <w:sz w:val="32"/>
          <w:szCs w:val="32"/>
          <w:highlight w:val="none"/>
          <w:u w:val="none"/>
        </w:rPr>
        <w:t>月</w:t>
      </w:r>
    </w:p>
    <w:p w14:paraId="27C63946">
      <w:pPr>
        <w:rPr>
          <w:rFonts w:hint="eastAsia" w:ascii="仿宋" w:hAnsi="仿宋" w:eastAsia="仿宋" w:cs="仿宋"/>
          <w:color w:val="auto"/>
          <w:highlight w:val="none"/>
        </w:rPr>
      </w:pPr>
    </w:p>
    <w:p w14:paraId="6B29D96F">
      <w:pPr>
        <w:pStyle w:val="62"/>
        <w:jc w:val="center"/>
        <w:rPr>
          <w:rFonts w:hint="eastAsia" w:ascii="仿宋" w:hAnsi="仿宋" w:eastAsia="仿宋" w:cs="仿宋"/>
          <w:color w:val="auto"/>
          <w:highlight w:val="none"/>
          <w:lang w:val="zh-CN"/>
        </w:rPr>
        <w:sectPr>
          <w:headerReference r:id="rId4" w:type="first"/>
          <w:headerReference r:id="rId3" w:type="default"/>
          <w:footerReference r:id="rId5" w:type="default"/>
          <w:pgSz w:w="11906" w:h="16838"/>
          <w:pgMar w:top="1440" w:right="1080" w:bottom="1440" w:left="1080" w:header="851" w:footer="992" w:gutter="0"/>
          <w:pgNumType w:fmt="decimal"/>
          <w:cols w:space="720" w:num="1"/>
          <w:titlePg/>
          <w:docGrid w:type="lines" w:linePitch="312" w:charSpace="0"/>
        </w:sectPr>
      </w:pPr>
    </w:p>
    <w:p w14:paraId="319E7449">
      <w:pPr>
        <w:pStyle w:val="62"/>
        <w:jc w:val="center"/>
        <w:rPr>
          <w:rFonts w:hint="eastAsia" w:ascii="仿宋" w:hAnsi="仿宋" w:eastAsia="仿宋" w:cs="仿宋"/>
          <w:color w:val="auto"/>
          <w:highlight w:val="none"/>
        </w:rPr>
      </w:pPr>
      <w:r>
        <w:rPr>
          <w:rFonts w:hint="eastAsia" w:ascii="仿宋" w:hAnsi="仿宋" w:eastAsia="仿宋" w:cs="仿宋"/>
          <w:color w:val="auto"/>
          <w:highlight w:val="none"/>
          <w:lang w:val="zh-CN"/>
        </w:rPr>
        <w:t>目录</w:t>
      </w:r>
    </w:p>
    <w:p w14:paraId="1487876B">
      <w:pPr>
        <w:pStyle w:val="19"/>
        <w:tabs>
          <w:tab w:val="right" w:leader="dot" w:pos="9746"/>
        </w:tabs>
        <w:rPr>
          <w:rFonts w:hint="eastAsia" w:ascii="仿宋" w:hAnsi="仿宋" w:eastAsia="仿宋" w:cs="仿宋"/>
          <w:b w:val="0"/>
          <w:bCs w:val="0"/>
          <w:color w:val="auto"/>
          <w:highlight w:val="none"/>
        </w:rPr>
      </w:pPr>
      <w:r>
        <w:rPr>
          <w:rFonts w:hint="eastAsia" w:ascii="仿宋" w:hAnsi="仿宋" w:eastAsia="仿宋" w:cs="仿宋"/>
          <w:b w:val="0"/>
          <w:bCs w:val="0"/>
          <w:caps w:val="0"/>
          <w:color w:val="auto"/>
          <w:highlight w:val="none"/>
        </w:rPr>
        <w:fldChar w:fldCharType="begin"/>
      </w:r>
      <w:r>
        <w:rPr>
          <w:rFonts w:hint="eastAsia" w:ascii="仿宋" w:hAnsi="仿宋" w:eastAsia="仿宋" w:cs="仿宋"/>
          <w:b w:val="0"/>
          <w:bCs w:val="0"/>
          <w:caps w:val="0"/>
          <w:color w:val="auto"/>
          <w:highlight w:val="none"/>
        </w:rPr>
        <w:instrText xml:space="preserve"> TOC \o "1-1" \h \z \u </w:instrText>
      </w:r>
      <w:r>
        <w:rPr>
          <w:rFonts w:hint="eastAsia" w:ascii="仿宋" w:hAnsi="仿宋" w:eastAsia="仿宋" w:cs="仿宋"/>
          <w:b w:val="0"/>
          <w:bCs w:val="0"/>
          <w:caps w:val="0"/>
          <w:color w:val="auto"/>
          <w:highlight w:val="none"/>
        </w:rPr>
        <w:fldChar w:fldCharType="separate"/>
      </w:r>
      <w:r>
        <w:rPr>
          <w:rFonts w:hint="eastAsia" w:ascii="仿宋" w:hAnsi="仿宋" w:eastAsia="仿宋" w:cs="仿宋"/>
          <w:b w:val="0"/>
          <w:bCs w:val="0"/>
          <w:caps w:val="0"/>
          <w:color w:val="auto"/>
          <w:highlight w:val="none"/>
        </w:rPr>
        <w:fldChar w:fldCharType="begin"/>
      </w:r>
      <w:r>
        <w:rPr>
          <w:rFonts w:hint="eastAsia" w:ascii="仿宋" w:hAnsi="仿宋" w:eastAsia="仿宋" w:cs="仿宋"/>
          <w:b w:val="0"/>
          <w:bCs w:val="0"/>
          <w:caps w:val="0"/>
          <w:color w:val="auto"/>
          <w:highlight w:val="none"/>
        </w:rPr>
        <w:instrText xml:space="preserve"> HYPERLINK \l _Toc21350 </w:instrText>
      </w:r>
      <w:r>
        <w:rPr>
          <w:rFonts w:hint="eastAsia" w:ascii="仿宋" w:hAnsi="仿宋" w:eastAsia="仿宋" w:cs="仿宋"/>
          <w:b w:val="0"/>
          <w:bCs w:val="0"/>
          <w:caps w:val="0"/>
          <w:color w:val="auto"/>
          <w:highlight w:val="none"/>
        </w:rPr>
        <w:fldChar w:fldCharType="separate"/>
      </w:r>
      <w:r>
        <w:rPr>
          <w:rFonts w:hint="eastAsia" w:ascii="仿宋" w:hAnsi="仿宋" w:eastAsia="仿宋" w:cs="仿宋"/>
          <w:b w:val="0"/>
          <w:bCs w:val="0"/>
          <w:color w:val="auto"/>
          <w:szCs w:val="32"/>
          <w:highlight w:val="none"/>
        </w:rPr>
        <w:t>第一章  谈判邀请</w:t>
      </w:r>
      <w:r>
        <w:rPr>
          <w:rFonts w:hint="eastAsia" w:ascii="仿宋" w:hAnsi="仿宋" w:eastAsia="仿宋" w:cs="仿宋"/>
          <w:b w:val="0"/>
          <w:bCs w:val="0"/>
          <w:color w:val="auto"/>
          <w:highlight w:val="none"/>
        </w:rPr>
        <w:tab/>
      </w:r>
      <w:r>
        <w:rPr>
          <w:rFonts w:hint="eastAsia" w:ascii="仿宋" w:hAnsi="仿宋" w:eastAsia="仿宋" w:cs="仿宋"/>
          <w:b w:val="0"/>
          <w:bCs w:val="0"/>
          <w:color w:val="auto"/>
          <w:highlight w:val="none"/>
        </w:rPr>
        <w:fldChar w:fldCharType="begin"/>
      </w:r>
      <w:r>
        <w:rPr>
          <w:rFonts w:hint="eastAsia" w:ascii="仿宋" w:hAnsi="仿宋" w:eastAsia="仿宋" w:cs="仿宋"/>
          <w:b w:val="0"/>
          <w:bCs w:val="0"/>
          <w:color w:val="auto"/>
          <w:highlight w:val="none"/>
        </w:rPr>
        <w:instrText xml:space="preserve"> PAGEREF _Toc21350 \h </w:instrText>
      </w:r>
      <w:r>
        <w:rPr>
          <w:rFonts w:hint="eastAsia" w:ascii="仿宋" w:hAnsi="仿宋" w:eastAsia="仿宋" w:cs="仿宋"/>
          <w:b w:val="0"/>
          <w:bCs w:val="0"/>
          <w:color w:val="auto"/>
          <w:highlight w:val="none"/>
        </w:rPr>
        <w:fldChar w:fldCharType="separate"/>
      </w:r>
      <w:r>
        <w:rPr>
          <w:rFonts w:hint="eastAsia" w:ascii="仿宋" w:hAnsi="仿宋" w:eastAsia="仿宋" w:cs="仿宋"/>
          <w:b w:val="0"/>
          <w:bCs w:val="0"/>
          <w:color w:val="auto"/>
          <w:highlight w:val="none"/>
        </w:rPr>
        <w:t>1</w:t>
      </w:r>
      <w:r>
        <w:rPr>
          <w:rFonts w:hint="eastAsia" w:ascii="仿宋" w:hAnsi="仿宋" w:eastAsia="仿宋" w:cs="仿宋"/>
          <w:b w:val="0"/>
          <w:bCs w:val="0"/>
          <w:color w:val="auto"/>
          <w:highlight w:val="none"/>
        </w:rPr>
        <w:fldChar w:fldCharType="end"/>
      </w:r>
      <w:r>
        <w:rPr>
          <w:rFonts w:hint="eastAsia" w:ascii="仿宋" w:hAnsi="仿宋" w:eastAsia="仿宋" w:cs="仿宋"/>
          <w:b w:val="0"/>
          <w:bCs w:val="0"/>
          <w:caps w:val="0"/>
          <w:color w:val="auto"/>
          <w:highlight w:val="none"/>
        </w:rPr>
        <w:fldChar w:fldCharType="end"/>
      </w:r>
    </w:p>
    <w:p w14:paraId="2C208A35">
      <w:pPr>
        <w:pStyle w:val="19"/>
        <w:tabs>
          <w:tab w:val="right" w:leader="dot" w:pos="9746"/>
        </w:tabs>
        <w:rPr>
          <w:rFonts w:hint="eastAsia" w:ascii="仿宋" w:hAnsi="仿宋" w:eastAsia="仿宋" w:cs="仿宋"/>
          <w:b w:val="0"/>
          <w:bCs w:val="0"/>
          <w:color w:val="auto"/>
          <w:highlight w:val="none"/>
        </w:rPr>
      </w:pPr>
      <w:r>
        <w:rPr>
          <w:rFonts w:hint="eastAsia" w:ascii="仿宋" w:hAnsi="仿宋" w:eastAsia="仿宋" w:cs="仿宋"/>
          <w:b w:val="0"/>
          <w:bCs w:val="0"/>
          <w:caps/>
          <w:color w:val="auto"/>
          <w:szCs w:val="20"/>
          <w:highlight w:val="none"/>
        </w:rPr>
        <w:fldChar w:fldCharType="begin"/>
      </w:r>
      <w:r>
        <w:rPr>
          <w:rFonts w:hint="eastAsia" w:ascii="仿宋" w:hAnsi="仿宋" w:eastAsia="仿宋" w:cs="仿宋"/>
          <w:b w:val="0"/>
          <w:bCs w:val="0"/>
          <w:caps/>
          <w:color w:val="auto"/>
          <w:szCs w:val="20"/>
          <w:highlight w:val="none"/>
        </w:rPr>
        <w:instrText xml:space="preserve"> HYPERLINK \l _Toc21349 </w:instrText>
      </w:r>
      <w:r>
        <w:rPr>
          <w:rFonts w:hint="eastAsia" w:ascii="仿宋" w:hAnsi="仿宋" w:eastAsia="仿宋" w:cs="仿宋"/>
          <w:b w:val="0"/>
          <w:bCs w:val="0"/>
          <w:caps/>
          <w:color w:val="auto"/>
          <w:szCs w:val="20"/>
          <w:highlight w:val="none"/>
        </w:rPr>
        <w:fldChar w:fldCharType="separate"/>
      </w:r>
      <w:r>
        <w:rPr>
          <w:rFonts w:hint="eastAsia" w:ascii="仿宋" w:hAnsi="仿宋" w:eastAsia="仿宋" w:cs="仿宋"/>
          <w:b w:val="0"/>
          <w:bCs w:val="0"/>
          <w:color w:val="auto"/>
          <w:szCs w:val="32"/>
          <w:highlight w:val="none"/>
        </w:rPr>
        <w:t>第二章  谈判须知</w:t>
      </w:r>
      <w:r>
        <w:rPr>
          <w:rFonts w:hint="eastAsia" w:ascii="仿宋" w:hAnsi="仿宋" w:eastAsia="仿宋" w:cs="仿宋"/>
          <w:b w:val="0"/>
          <w:bCs w:val="0"/>
          <w:color w:val="auto"/>
          <w:highlight w:val="none"/>
        </w:rPr>
        <w:tab/>
      </w:r>
      <w:r>
        <w:rPr>
          <w:rFonts w:hint="eastAsia" w:ascii="仿宋" w:hAnsi="仿宋" w:eastAsia="仿宋" w:cs="仿宋"/>
          <w:b w:val="0"/>
          <w:bCs w:val="0"/>
          <w:color w:val="auto"/>
          <w:highlight w:val="none"/>
        </w:rPr>
        <w:fldChar w:fldCharType="begin"/>
      </w:r>
      <w:r>
        <w:rPr>
          <w:rFonts w:hint="eastAsia" w:ascii="仿宋" w:hAnsi="仿宋" w:eastAsia="仿宋" w:cs="仿宋"/>
          <w:b w:val="0"/>
          <w:bCs w:val="0"/>
          <w:color w:val="auto"/>
          <w:highlight w:val="none"/>
        </w:rPr>
        <w:instrText xml:space="preserve"> PAGEREF _Toc21349 \h </w:instrText>
      </w:r>
      <w:r>
        <w:rPr>
          <w:rFonts w:hint="eastAsia" w:ascii="仿宋" w:hAnsi="仿宋" w:eastAsia="仿宋" w:cs="仿宋"/>
          <w:b w:val="0"/>
          <w:bCs w:val="0"/>
          <w:color w:val="auto"/>
          <w:highlight w:val="none"/>
        </w:rPr>
        <w:fldChar w:fldCharType="separate"/>
      </w:r>
      <w:r>
        <w:rPr>
          <w:rFonts w:hint="eastAsia" w:ascii="仿宋" w:hAnsi="仿宋" w:eastAsia="仿宋" w:cs="仿宋"/>
          <w:b w:val="0"/>
          <w:bCs w:val="0"/>
          <w:color w:val="auto"/>
          <w:highlight w:val="none"/>
        </w:rPr>
        <w:t>2</w:t>
      </w:r>
      <w:r>
        <w:rPr>
          <w:rFonts w:hint="eastAsia" w:ascii="仿宋" w:hAnsi="仿宋" w:eastAsia="仿宋" w:cs="仿宋"/>
          <w:b w:val="0"/>
          <w:bCs w:val="0"/>
          <w:color w:val="auto"/>
          <w:highlight w:val="none"/>
        </w:rPr>
        <w:fldChar w:fldCharType="end"/>
      </w:r>
      <w:r>
        <w:rPr>
          <w:rFonts w:hint="eastAsia" w:ascii="仿宋" w:hAnsi="仿宋" w:eastAsia="仿宋" w:cs="仿宋"/>
          <w:b w:val="0"/>
          <w:bCs w:val="0"/>
          <w:caps/>
          <w:color w:val="auto"/>
          <w:szCs w:val="20"/>
          <w:highlight w:val="none"/>
        </w:rPr>
        <w:fldChar w:fldCharType="end"/>
      </w:r>
    </w:p>
    <w:p w14:paraId="6E93BB93">
      <w:pPr>
        <w:pStyle w:val="19"/>
        <w:tabs>
          <w:tab w:val="right" w:leader="dot" w:pos="9746"/>
        </w:tabs>
        <w:rPr>
          <w:rFonts w:hint="eastAsia" w:ascii="仿宋" w:hAnsi="仿宋" w:eastAsia="仿宋" w:cs="仿宋"/>
          <w:b w:val="0"/>
          <w:bCs w:val="0"/>
          <w:color w:val="auto"/>
          <w:highlight w:val="none"/>
        </w:rPr>
      </w:pPr>
      <w:r>
        <w:rPr>
          <w:rFonts w:hint="eastAsia" w:ascii="仿宋" w:hAnsi="仿宋" w:eastAsia="仿宋" w:cs="仿宋"/>
          <w:b w:val="0"/>
          <w:bCs w:val="0"/>
          <w:caps/>
          <w:color w:val="auto"/>
          <w:szCs w:val="20"/>
          <w:highlight w:val="none"/>
        </w:rPr>
        <w:fldChar w:fldCharType="begin"/>
      </w:r>
      <w:r>
        <w:rPr>
          <w:rFonts w:hint="eastAsia" w:ascii="仿宋" w:hAnsi="仿宋" w:eastAsia="仿宋" w:cs="仿宋"/>
          <w:b w:val="0"/>
          <w:bCs w:val="0"/>
          <w:caps/>
          <w:color w:val="auto"/>
          <w:szCs w:val="20"/>
          <w:highlight w:val="none"/>
        </w:rPr>
        <w:instrText xml:space="preserve"> HYPERLINK \l _Toc29823 </w:instrText>
      </w:r>
      <w:r>
        <w:rPr>
          <w:rFonts w:hint="eastAsia" w:ascii="仿宋" w:hAnsi="仿宋" w:eastAsia="仿宋" w:cs="仿宋"/>
          <w:b w:val="0"/>
          <w:bCs w:val="0"/>
          <w:caps/>
          <w:color w:val="auto"/>
          <w:szCs w:val="20"/>
          <w:highlight w:val="none"/>
        </w:rPr>
        <w:fldChar w:fldCharType="separate"/>
      </w:r>
      <w:r>
        <w:rPr>
          <w:rFonts w:hint="eastAsia" w:ascii="仿宋" w:hAnsi="仿宋" w:eastAsia="仿宋" w:cs="仿宋"/>
          <w:b w:val="0"/>
          <w:bCs w:val="0"/>
          <w:color w:val="auto"/>
          <w:szCs w:val="32"/>
          <w:highlight w:val="none"/>
        </w:rPr>
        <w:t>第三章  供应商的资格要求</w:t>
      </w:r>
      <w:r>
        <w:rPr>
          <w:rFonts w:hint="eastAsia" w:ascii="仿宋" w:hAnsi="仿宋" w:eastAsia="仿宋" w:cs="仿宋"/>
          <w:b w:val="0"/>
          <w:bCs w:val="0"/>
          <w:color w:val="auto"/>
          <w:highlight w:val="none"/>
        </w:rPr>
        <w:tab/>
      </w:r>
      <w:r>
        <w:rPr>
          <w:rFonts w:hint="eastAsia" w:ascii="仿宋" w:hAnsi="仿宋" w:eastAsia="仿宋" w:cs="仿宋"/>
          <w:b w:val="0"/>
          <w:bCs w:val="0"/>
          <w:color w:val="auto"/>
          <w:highlight w:val="none"/>
        </w:rPr>
        <w:fldChar w:fldCharType="begin"/>
      </w:r>
      <w:r>
        <w:rPr>
          <w:rFonts w:hint="eastAsia" w:ascii="仿宋" w:hAnsi="仿宋" w:eastAsia="仿宋" w:cs="仿宋"/>
          <w:b w:val="0"/>
          <w:bCs w:val="0"/>
          <w:color w:val="auto"/>
          <w:highlight w:val="none"/>
        </w:rPr>
        <w:instrText xml:space="preserve"> PAGEREF _Toc29823 \h </w:instrText>
      </w:r>
      <w:r>
        <w:rPr>
          <w:rFonts w:hint="eastAsia" w:ascii="仿宋" w:hAnsi="仿宋" w:eastAsia="仿宋" w:cs="仿宋"/>
          <w:b w:val="0"/>
          <w:bCs w:val="0"/>
          <w:color w:val="auto"/>
          <w:highlight w:val="none"/>
        </w:rPr>
        <w:fldChar w:fldCharType="separate"/>
      </w:r>
      <w:r>
        <w:rPr>
          <w:rFonts w:hint="eastAsia" w:ascii="仿宋" w:hAnsi="仿宋" w:eastAsia="仿宋" w:cs="仿宋"/>
          <w:b w:val="0"/>
          <w:bCs w:val="0"/>
          <w:color w:val="auto"/>
          <w:highlight w:val="none"/>
        </w:rPr>
        <w:t>14</w:t>
      </w:r>
      <w:r>
        <w:rPr>
          <w:rFonts w:hint="eastAsia" w:ascii="仿宋" w:hAnsi="仿宋" w:eastAsia="仿宋" w:cs="仿宋"/>
          <w:b w:val="0"/>
          <w:bCs w:val="0"/>
          <w:color w:val="auto"/>
          <w:highlight w:val="none"/>
        </w:rPr>
        <w:fldChar w:fldCharType="end"/>
      </w:r>
      <w:r>
        <w:rPr>
          <w:rFonts w:hint="eastAsia" w:ascii="仿宋" w:hAnsi="仿宋" w:eastAsia="仿宋" w:cs="仿宋"/>
          <w:b w:val="0"/>
          <w:bCs w:val="0"/>
          <w:caps/>
          <w:color w:val="auto"/>
          <w:szCs w:val="20"/>
          <w:highlight w:val="none"/>
        </w:rPr>
        <w:fldChar w:fldCharType="end"/>
      </w:r>
    </w:p>
    <w:p w14:paraId="4F5EA287">
      <w:pPr>
        <w:pStyle w:val="19"/>
        <w:tabs>
          <w:tab w:val="right" w:leader="dot" w:pos="9746"/>
        </w:tabs>
        <w:rPr>
          <w:rFonts w:hint="eastAsia" w:ascii="仿宋" w:hAnsi="仿宋" w:eastAsia="仿宋" w:cs="仿宋"/>
          <w:b w:val="0"/>
          <w:bCs w:val="0"/>
          <w:color w:val="auto"/>
          <w:highlight w:val="none"/>
        </w:rPr>
      </w:pPr>
      <w:r>
        <w:rPr>
          <w:rFonts w:hint="eastAsia" w:ascii="仿宋" w:hAnsi="仿宋" w:eastAsia="仿宋" w:cs="仿宋"/>
          <w:b w:val="0"/>
          <w:bCs w:val="0"/>
          <w:caps/>
          <w:color w:val="auto"/>
          <w:szCs w:val="20"/>
          <w:highlight w:val="none"/>
        </w:rPr>
        <w:fldChar w:fldCharType="begin"/>
      </w:r>
      <w:r>
        <w:rPr>
          <w:rFonts w:hint="eastAsia" w:ascii="仿宋" w:hAnsi="仿宋" w:eastAsia="仿宋" w:cs="仿宋"/>
          <w:b w:val="0"/>
          <w:bCs w:val="0"/>
          <w:caps/>
          <w:color w:val="auto"/>
          <w:szCs w:val="20"/>
          <w:highlight w:val="none"/>
        </w:rPr>
        <w:instrText xml:space="preserve"> HYPERLINK \l _Toc30300 </w:instrText>
      </w:r>
      <w:r>
        <w:rPr>
          <w:rFonts w:hint="eastAsia" w:ascii="仿宋" w:hAnsi="仿宋" w:eastAsia="仿宋" w:cs="仿宋"/>
          <w:b w:val="0"/>
          <w:bCs w:val="0"/>
          <w:caps/>
          <w:color w:val="auto"/>
          <w:szCs w:val="20"/>
          <w:highlight w:val="none"/>
        </w:rPr>
        <w:fldChar w:fldCharType="separate"/>
      </w:r>
      <w:r>
        <w:rPr>
          <w:rFonts w:hint="eastAsia" w:ascii="仿宋" w:hAnsi="仿宋" w:eastAsia="仿宋" w:cs="仿宋"/>
          <w:b w:val="0"/>
          <w:bCs w:val="0"/>
          <w:color w:val="auto"/>
          <w:szCs w:val="32"/>
          <w:highlight w:val="none"/>
        </w:rPr>
        <w:t>第四章  供应商应当提供的资格证明材料</w:t>
      </w:r>
      <w:r>
        <w:rPr>
          <w:rFonts w:hint="eastAsia" w:ascii="仿宋" w:hAnsi="仿宋" w:eastAsia="仿宋" w:cs="仿宋"/>
          <w:b w:val="0"/>
          <w:bCs w:val="0"/>
          <w:color w:val="auto"/>
          <w:highlight w:val="none"/>
        </w:rPr>
        <w:tab/>
      </w:r>
      <w:r>
        <w:rPr>
          <w:rFonts w:hint="eastAsia" w:ascii="仿宋" w:hAnsi="仿宋" w:eastAsia="仿宋" w:cs="仿宋"/>
          <w:b w:val="0"/>
          <w:bCs w:val="0"/>
          <w:color w:val="auto"/>
          <w:highlight w:val="none"/>
        </w:rPr>
        <w:fldChar w:fldCharType="begin"/>
      </w:r>
      <w:r>
        <w:rPr>
          <w:rFonts w:hint="eastAsia" w:ascii="仿宋" w:hAnsi="仿宋" w:eastAsia="仿宋" w:cs="仿宋"/>
          <w:b w:val="0"/>
          <w:bCs w:val="0"/>
          <w:color w:val="auto"/>
          <w:highlight w:val="none"/>
        </w:rPr>
        <w:instrText xml:space="preserve"> PAGEREF _Toc30300 \h </w:instrText>
      </w:r>
      <w:r>
        <w:rPr>
          <w:rFonts w:hint="eastAsia" w:ascii="仿宋" w:hAnsi="仿宋" w:eastAsia="仿宋" w:cs="仿宋"/>
          <w:b w:val="0"/>
          <w:bCs w:val="0"/>
          <w:color w:val="auto"/>
          <w:highlight w:val="none"/>
        </w:rPr>
        <w:fldChar w:fldCharType="separate"/>
      </w:r>
      <w:r>
        <w:rPr>
          <w:rFonts w:hint="eastAsia" w:ascii="仿宋" w:hAnsi="仿宋" w:eastAsia="仿宋" w:cs="仿宋"/>
          <w:b w:val="0"/>
          <w:bCs w:val="0"/>
          <w:color w:val="auto"/>
          <w:highlight w:val="none"/>
        </w:rPr>
        <w:t>15</w:t>
      </w:r>
      <w:r>
        <w:rPr>
          <w:rFonts w:hint="eastAsia" w:ascii="仿宋" w:hAnsi="仿宋" w:eastAsia="仿宋" w:cs="仿宋"/>
          <w:b w:val="0"/>
          <w:bCs w:val="0"/>
          <w:color w:val="auto"/>
          <w:highlight w:val="none"/>
        </w:rPr>
        <w:fldChar w:fldCharType="end"/>
      </w:r>
      <w:r>
        <w:rPr>
          <w:rFonts w:hint="eastAsia" w:ascii="仿宋" w:hAnsi="仿宋" w:eastAsia="仿宋" w:cs="仿宋"/>
          <w:b w:val="0"/>
          <w:bCs w:val="0"/>
          <w:caps/>
          <w:color w:val="auto"/>
          <w:szCs w:val="20"/>
          <w:highlight w:val="none"/>
        </w:rPr>
        <w:fldChar w:fldCharType="end"/>
      </w:r>
    </w:p>
    <w:p w14:paraId="7B6D064E">
      <w:pPr>
        <w:pStyle w:val="19"/>
        <w:tabs>
          <w:tab w:val="right" w:leader="dot" w:pos="9746"/>
        </w:tabs>
        <w:rPr>
          <w:rFonts w:hint="eastAsia" w:ascii="仿宋" w:hAnsi="仿宋" w:eastAsia="仿宋" w:cs="仿宋"/>
          <w:b w:val="0"/>
          <w:bCs w:val="0"/>
          <w:color w:val="auto"/>
          <w:highlight w:val="none"/>
        </w:rPr>
      </w:pPr>
      <w:r>
        <w:rPr>
          <w:rFonts w:hint="eastAsia" w:ascii="仿宋" w:hAnsi="仿宋" w:eastAsia="仿宋" w:cs="仿宋"/>
          <w:b w:val="0"/>
          <w:bCs w:val="0"/>
          <w:caps/>
          <w:color w:val="auto"/>
          <w:szCs w:val="20"/>
          <w:highlight w:val="none"/>
        </w:rPr>
        <w:fldChar w:fldCharType="begin"/>
      </w:r>
      <w:r>
        <w:rPr>
          <w:rFonts w:hint="eastAsia" w:ascii="仿宋" w:hAnsi="仿宋" w:eastAsia="仿宋" w:cs="仿宋"/>
          <w:b w:val="0"/>
          <w:bCs w:val="0"/>
          <w:caps/>
          <w:color w:val="auto"/>
          <w:szCs w:val="20"/>
          <w:highlight w:val="none"/>
        </w:rPr>
        <w:instrText xml:space="preserve"> HYPERLINK \l _Toc10231 </w:instrText>
      </w:r>
      <w:r>
        <w:rPr>
          <w:rFonts w:hint="eastAsia" w:ascii="仿宋" w:hAnsi="仿宋" w:eastAsia="仿宋" w:cs="仿宋"/>
          <w:b w:val="0"/>
          <w:bCs w:val="0"/>
          <w:caps/>
          <w:color w:val="auto"/>
          <w:szCs w:val="20"/>
          <w:highlight w:val="none"/>
        </w:rPr>
        <w:fldChar w:fldCharType="separate"/>
      </w:r>
      <w:r>
        <w:rPr>
          <w:rFonts w:hint="eastAsia" w:ascii="仿宋" w:hAnsi="仿宋" w:eastAsia="仿宋" w:cs="仿宋"/>
          <w:b w:val="0"/>
          <w:bCs w:val="0"/>
          <w:color w:val="auto"/>
          <w:szCs w:val="32"/>
          <w:highlight w:val="none"/>
        </w:rPr>
        <w:t>第五章  采购项目技术、服务、合同内容条款及其他商务要求</w:t>
      </w:r>
      <w:r>
        <w:rPr>
          <w:rFonts w:hint="eastAsia" w:ascii="仿宋" w:hAnsi="仿宋" w:eastAsia="仿宋" w:cs="仿宋"/>
          <w:b w:val="0"/>
          <w:bCs w:val="0"/>
          <w:color w:val="auto"/>
          <w:highlight w:val="none"/>
        </w:rPr>
        <w:tab/>
      </w:r>
      <w:r>
        <w:rPr>
          <w:rFonts w:hint="eastAsia" w:ascii="仿宋" w:hAnsi="仿宋" w:eastAsia="仿宋" w:cs="仿宋"/>
          <w:b w:val="0"/>
          <w:bCs w:val="0"/>
          <w:color w:val="auto"/>
          <w:highlight w:val="none"/>
        </w:rPr>
        <w:fldChar w:fldCharType="begin"/>
      </w:r>
      <w:r>
        <w:rPr>
          <w:rFonts w:hint="eastAsia" w:ascii="仿宋" w:hAnsi="仿宋" w:eastAsia="仿宋" w:cs="仿宋"/>
          <w:b w:val="0"/>
          <w:bCs w:val="0"/>
          <w:color w:val="auto"/>
          <w:highlight w:val="none"/>
        </w:rPr>
        <w:instrText xml:space="preserve"> PAGEREF _Toc10231 \h </w:instrText>
      </w:r>
      <w:r>
        <w:rPr>
          <w:rFonts w:hint="eastAsia" w:ascii="仿宋" w:hAnsi="仿宋" w:eastAsia="仿宋" w:cs="仿宋"/>
          <w:b w:val="0"/>
          <w:bCs w:val="0"/>
          <w:color w:val="auto"/>
          <w:highlight w:val="none"/>
        </w:rPr>
        <w:fldChar w:fldCharType="separate"/>
      </w:r>
      <w:r>
        <w:rPr>
          <w:rFonts w:hint="eastAsia" w:ascii="仿宋" w:hAnsi="仿宋" w:eastAsia="仿宋" w:cs="仿宋"/>
          <w:b w:val="0"/>
          <w:bCs w:val="0"/>
          <w:color w:val="auto"/>
          <w:highlight w:val="none"/>
        </w:rPr>
        <w:t>16</w:t>
      </w:r>
      <w:r>
        <w:rPr>
          <w:rFonts w:hint="eastAsia" w:ascii="仿宋" w:hAnsi="仿宋" w:eastAsia="仿宋" w:cs="仿宋"/>
          <w:b w:val="0"/>
          <w:bCs w:val="0"/>
          <w:color w:val="auto"/>
          <w:highlight w:val="none"/>
        </w:rPr>
        <w:fldChar w:fldCharType="end"/>
      </w:r>
      <w:r>
        <w:rPr>
          <w:rFonts w:hint="eastAsia" w:ascii="仿宋" w:hAnsi="仿宋" w:eastAsia="仿宋" w:cs="仿宋"/>
          <w:b w:val="0"/>
          <w:bCs w:val="0"/>
          <w:caps/>
          <w:color w:val="auto"/>
          <w:szCs w:val="20"/>
          <w:highlight w:val="none"/>
        </w:rPr>
        <w:fldChar w:fldCharType="end"/>
      </w:r>
    </w:p>
    <w:p w14:paraId="21E53A70">
      <w:pPr>
        <w:pStyle w:val="19"/>
        <w:tabs>
          <w:tab w:val="right" w:leader="dot" w:pos="9746"/>
        </w:tabs>
        <w:rPr>
          <w:rFonts w:hint="eastAsia" w:ascii="仿宋" w:hAnsi="仿宋" w:eastAsia="仿宋" w:cs="仿宋"/>
          <w:b w:val="0"/>
          <w:bCs w:val="0"/>
          <w:color w:val="auto"/>
          <w:highlight w:val="none"/>
        </w:rPr>
      </w:pPr>
      <w:r>
        <w:rPr>
          <w:rFonts w:hint="eastAsia" w:ascii="仿宋" w:hAnsi="仿宋" w:eastAsia="仿宋" w:cs="仿宋"/>
          <w:b w:val="0"/>
          <w:bCs w:val="0"/>
          <w:caps/>
          <w:color w:val="auto"/>
          <w:szCs w:val="20"/>
          <w:highlight w:val="none"/>
        </w:rPr>
        <w:fldChar w:fldCharType="begin"/>
      </w:r>
      <w:r>
        <w:rPr>
          <w:rFonts w:hint="eastAsia" w:ascii="仿宋" w:hAnsi="仿宋" w:eastAsia="仿宋" w:cs="仿宋"/>
          <w:b w:val="0"/>
          <w:bCs w:val="0"/>
          <w:caps/>
          <w:color w:val="auto"/>
          <w:szCs w:val="20"/>
          <w:highlight w:val="none"/>
        </w:rPr>
        <w:instrText xml:space="preserve"> HYPERLINK \l _Toc31105 </w:instrText>
      </w:r>
      <w:r>
        <w:rPr>
          <w:rFonts w:hint="eastAsia" w:ascii="仿宋" w:hAnsi="仿宋" w:eastAsia="仿宋" w:cs="仿宋"/>
          <w:b w:val="0"/>
          <w:bCs w:val="0"/>
          <w:caps/>
          <w:color w:val="auto"/>
          <w:szCs w:val="20"/>
          <w:highlight w:val="none"/>
        </w:rPr>
        <w:fldChar w:fldCharType="separate"/>
      </w:r>
      <w:r>
        <w:rPr>
          <w:rFonts w:hint="eastAsia" w:ascii="仿宋" w:hAnsi="仿宋" w:eastAsia="仿宋" w:cs="仿宋"/>
          <w:b w:val="0"/>
          <w:bCs w:val="0"/>
          <w:color w:val="auto"/>
          <w:szCs w:val="32"/>
          <w:highlight w:val="none"/>
        </w:rPr>
        <w:t>第六章  谈判内容、谈判过程中可</w:t>
      </w:r>
      <w:r>
        <w:rPr>
          <w:rFonts w:hint="eastAsia" w:ascii="仿宋" w:hAnsi="仿宋" w:eastAsia="仿宋" w:cs="仿宋"/>
          <w:b w:val="0"/>
          <w:bCs w:val="0"/>
          <w:color w:val="auto"/>
          <w:szCs w:val="32"/>
          <w:highlight w:val="none"/>
          <w:lang w:eastAsia="zh-CN"/>
        </w:rPr>
        <w:t>能</w:t>
      </w:r>
      <w:r>
        <w:rPr>
          <w:rFonts w:hint="eastAsia" w:ascii="仿宋" w:hAnsi="仿宋" w:eastAsia="仿宋" w:cs="仿宋"/>
          <w:b w:val="0"/>
          <w:bCs w:val="0"/>
          <w:color w:val="auto"/>
          <w:szCs w:val="32"/>
          <w:highlight w:val="none"/>
        </w:rPr>
        <w:t>实质性变动的内容</w:t>
      </w:r>
      <w:r>
        <w:rPr>
          <w:rFonts w:hint="eastAsia" w:ascii="仿宋" w:hAnsi="仿宋" w:eastAsia="仿宋" w:cs="仿宋"/>
          <w:b w:val="0"/>
          <w:bCs w:val="0"/>
          <w:color w:val="auto"/>
          <w:highlight w:val="none"/>
        </w:rPr>
        <w:tab/>
      </w:r>
      <w:r>
        <w:rPr>
          <w:rFonts w:hint="eastAsia" w:ascii="仿宋" w:hAnsi="仿宋" w:eastAsia="仿宋" w:cs="仿宋"/>
          <w:b w:val="0"/>
          <w:bCs w:val="0"/>
          <w:color w:val="auto"/>
          <w:highlight w:val="none"/>
        </w:rPr>
        <w:fldChar w:fldCharType="begin"/>
      </w:r>
      <w:r>
        <w:rPr>
          <w:rFonts w:hint="eastAsia" w:ascii="仿宋" w:hAnsi="仿宋" w:eastAsia="仿宋" w:cs="仿宋"/>
          <w:b w:val="0"/>
          <w:bCs w:val="0"/>
          <w:color w:val="auto"/>
          <w:highlight w:val="none"/>
        </w:rPr>
        <w:instrText xml:space="preserve"> PAGEREF _Toc31105 \h </w:instrText>
      </w:r>
      <w:r>
        <w:rPr>
          <w:rFonts w:hint="eastAsia" w:ascii="仿宋" w:hAnsi="仿宋" w:eastAsia="仿宋" w:cs="仿宋"/>
          <w:b w:val="0"/>
          <w:bCs w:val="0"/>
          <w:color w:val="auto"/>
          <w:highlight w:val="none"/>
        </w:rPr>
        <w:fldChar w:fldCharType="separate"/>
      </w:r>
      <w:r>
        <w:rPr>
          <w:rFonts w:hint="eastAsia" w:ascii="仿宋" w:hAnsi="仿宋" w:eastAsia="仿宋" w:cs="仿宋"/>
          <w:b w:val="0"/>
          <w:bCs w:val="0"/>
          <w:color w:val="auto"/>
          <w:highlight w:val="none"/>
        </w:rPr>
        <w:t>19</w:t>
      </w:r>
      <w:r>
        <w:rPr>
          <w:rFonts w:hint="eastAsia" w:ascii="仿宋" w:hAnsi="仿宋" w:eastAsia="仿宋" w:cs="仿宋"/>
          <w:b w:val="0"/>
          <w:bCs w:val="0"/>
          <w:color w:val="auto"/>
          <w:highlight w:val="none"/>
        </w:rPr>
        <w:fldChar w:fldCharType="end"/>
      </w:r>
      <w:r>
        <w:rPr>
          <w:rFonts w:hint="eastAsia" w:ascii="仿宋" w:hAnsi="仿宋" w:eastAsia="仿宋" w:cs="仿宋"/>
          <w:b w:val="0"/>
          <w:bCs w:val="0"/>
          <w:caps/>
          <w:color w:val="auto"/>
          <w:szCs w:val="20"/>
          <w:highlight w:val="none"/>
        </w:rPr>
        <w:fldChar w:fldCharType="end"/>
      </w:r>
    </w:p>
    <w:p w14:paraId="71D16D83">
      <w:pPr>
        <w:pStyle w:val="19"/>
        <w:tabs>
          <w:tab w:val="right" w:leader="dot" w:pos="9746"/>
        </w:tabs>
        <w:rPr>
          <w:rFonts w:hint="eastAsia" w:ascii="仿宋" w:hAnsi="仿宋" w:eastAsia="仿宋" w:cs="仿宋"/>
          <w:b w:val="0"/>
          <w:bCs w:val="0"/>
          <w:color w:val="auto"/>
          <w:highlight w:val="none"/>
        </w:rPr>
      </w:pPr>
      <w:r>
        <w:rPr>
          <w:rFonts w:hint="eastAsia" w:ascii="仿宋" w:hAnsi="仿宋" w:eastAsia="仿宋" w:cs="仿宋"/>
          <w:b w:val="0"/>
          <w:bCs w:val="0"/>
          <w:caps/>
          <w:color w:val="auto"/>
          <w:szCs w:val="20"/>
          <w:highlight w:val="none"/>
        </w:rPr>
        <w:fldChar w:fldCharType="begin"/>
      </w:r>
      <w:r>
        <w:rPr>
          <w:rFonts w:hint="eastAsia" w:ascii="仿宋" w:hAnsi="仿宋" w:eastAsia="仿宋" w:cs="仿宋"/>
          <w:b w:val="0"/>
          <w:bCs w:val="0"/>
          <w:caps/>
          <w:color w:val="auto"/>
          <w:szCs w:val="20"/>
          <w:highlight w:val="none"/>
        </w:rPr>
        <w:instrText xml:space="preserve"> HYPERLINK \l _Toc28166 </w:instrText>
      </w:r>
      <w:r>
        <w:rPr>
          <w:rFonts w:hint="eastAsia" w:ascii="仿宋" w:hAnsi="仿宋" w:eastAsia="仿宋" w:cs="仿宋"/>
          <w:b w:val="0"/>
          <w:bCs w:val="0"/>
          <w:caps/>
          <w:color w:val="auto"/>
          <w:szCs w:val="20"/>
          <w:highlight w:val="none"/>
        </w:rPr>
        <w:fldChar w:fldCharType="separate"/>
      </w:r>
      <w:r>
        <w:rPr>
          <w:rFonts w:hint="eastAsia" w:ascii="仿宋" w:hAnsi="仿宋" w:eastAsia="仿宋" w:cs="仿宋"/>
          <w:b w:val="0"/>
          <w:bCs w:val="0"/>
          <w:color w:val="auto"/>
          <w:szCs w:val="32"/>
          <w:highlight w:val="none"/>
        </w:rPr>
        <w:t>第七章  响应文件格式</w:t>
      </w:r>
      <w:r>
        <w:rPr>
          <w:rFonts w:hint="eastAsia" w:ascii="仿宋" w:hAnsi="仿宋" w:eastAsia="仿宋" w:cs="仿宋"/>
          <w:b w:val="0"/>
          <w:bCs w:val="0"/>
          <w:color w:val="auto"/>
          <w:highlight w:val="none"/>
        </w:rPr>
        <w:tab/>
      </w:r>
      <w:r>
        <w:rPr>
          <w:rFonts w:hint="eastAsia" w:ascii="仿宋" w:hAnsi="仿宋" w:eastAsia="仿宋" w:cs="仿宋"/>
          <w:b w:val="0"/>
          <w:bCs w:val="0"/>
          <w:color w:val="auto"/>
          <w:highlight w:val="none"/>
        </w:rPr>
        <w:fldChar w:fldCharType="begin"/>
      </w:r>
      <w:r>
        <w:rPr>
          <w:rFonts w:hint="eastAsia" w:ascii="仿宋" w:hAnsi="仿宋" w:eastAsia="仿宋" w:cs="仿宋"/>
          <w:b w:val="0"/>
          <w:bCs w:val="0"/>
          <w:color w:val="auto"/>
          <w:highlight w:val="none"/>
        </w:rPr>
        <w:instrText xml:space="preserve"> PAGEREF _Toc28166 \h </w:instrText>
      </w:r>
      <w:r>
        <w:rPr>
          <w:rFonts w:hint="eastAsia" w:ascii="仿宋" w:hAnsi="仿宋" w:eastAsia="仿宋" w:cs="仿宋"/>
          <w:b w:val="0"/>
          <w:bCs w:val="0"/>
          <w:color w:val="auto"/>
          <w:highlight w:val="none"/>
        </w:rPr>
        <w:fldChar w:fldCharType="separate"/>
      </w:r>
      <w:r>
        <w:rPr>
          <w:rFonts w:hint="eastAsia" w:ascii="仿宋" w:hAnsi="仿宋" w:eastAsia="仿宋" w:cs="仿宋"/>
          <w:b w:val="0"/>
          <w:bCs w:val="0"/>
          <w:color w:val="auto"/>
          <w:highlight w:val="none"/>
        </w:rPr>
        <w:t>20</w:t>
      </w:r>
      <w:r>
        <w:rPr>
          <w:rFonts w:hint="eastAsia" w:ascii="仿宋" w:hAnsi="仿宋" w:eastAsia="仿宋" w:cs="仿宋"/>
          <w:b w:val="0"/>
          <w:bCs w:val="0"/>
          <w:color w:val="auto"/>
          <w:highlight w:val="none"/>
        </w:rPr>
        <w:fldChar w:fldCharType="end"/>
      </w:r>
      <w:r>
        <w:rPr>
          <w:rFonts w:hint="eastAsia" w:ascii="仿宋" w:hAnsi="仿宋" w:eastAsia="仿宋" w:cs="仿宋"/>
          <w:b w:val="0"/>
          <w:bCs w:val="0"/>
          <w:caps/>
          <w:color w:val="auto"/>
          <w:szCs w:val="20"/>
          <w:highlight w:val="none"/>
        </w:rPr>
        <w:fldChar w:fldCharType="end"/>
      </w:r>
    </w:p>
    <w:p w14:paraId="77AEEAD4">
      <w:pPr>
        <w:pStyle w:val="19"/>
        <w:tabs>
          <w:tab w:val="right" w:leader="dot" w:pos="9746"/>
        </w:tabs>
        <w:rPr>
          <w:rFonts w:hint="eastAsia" w:ascii="仿宋" w:hAnsi="仿宋" w:eastAsia="仿宋" w:cs="仿宋"/>
          <w:b w:val="0"/>
          <w:bCs w:val="0"/>
          <w:color w:val="auto"/>
          <w:highlight w:val="none"/>
        </w:rPr>
      </w:pPr>
      <w:r>
        <w:rPr>
          <w:rFonts w:hint="eastAsia" w:ascii="仿宋" w:hAnsi="仿宋" w:eastAsia="仿宋" w:cs="仿宋"/>
          <w:b w:val="0"/>
          <w:bCs w:val="0"/>
          <w:caps/>
          <w:color w:val="auto"/>
          <w:szCs w:val="20"/>
          <w:highlight w:val="none"/>
        </w:rPr>
        <w:fldChar w:fldCharType="begin"/>
      </w:r>
      <w:r>
        <w:rPr>
          <w:rFonts w:hint="eastAsia" w:ascii="仿宋" w:hAnsi="仿宋" w:eastAsia="仿宋" w:cs="仿宋"/>
          <w:b w:val="0"/>
          <w:bCs w:val="0"/>
          <w:caps/>
          <w:color w:val="auto"/>
          <w:szCs w:val="20"/>
          <w:highlight w:val="none"/>
        </w:rPr>
        <w:instrText xml:space="preserve"> HYPERLINK \l _Toc16507 </w:instrText>
      </w:r>
      <w:r>
        <w:rPr>
          <w:rFonts w:hint="eastAsia" w:ascii="仿宋" w:hAnsi="仿宋" w:eastAsia="仿宋" w:cs="仿宋"/>
          <w:b w:val="0"/>
          <w:bCs w:val="0"/>
          <w:caps/>
          <w:color w:val="auto"/>
          <w:szCs w:val="20"/>
          <w:highlight w:val="none"/>
        </w:rPr>
        <w:fldChar w:fldCharType="separate"/>
      </w:r>
      <w:r>
        <w:rPr>
          <w:rFonts w:hint="eastAsia" w:ascii="仿宋" w:hAnsi="仿宋" w:eastAsia="仿宋" w:cs="仿宋"/>
          <w:b w:val="0"/>
          <w:bCs w:val="0"/>
          <w:color w:val="auto"/>
          <w:szCs w:val="32"/>
          <w:highlight w:val="none"/>
        </w:rPr>
        <w:t>第八章  评审方法</w:t>
      </w:r>
      <w:r>
        <w:rPr>
          <w:rFonts w:hint="eastAsia" w:ascii="仿宋" w:hAnsi="仿宋" w:eastAsia="仿宋" w:cs="仿宋"/>
          <w:b w:val="0"/>
          <w:bCs w:val="0"/>
          <w:color w:val="auto"/>
          <w:highlight w:val="none"/>
        </w:rPr>
        <w:tab/>
      </w:r>
      <w:r>
        <w:rPr>
          <w:rFonts w:hint="eastAsia" w:ascii="仿宋" w:hAnsi="仿宋" w:eastAsia="仿宋" w:cs="仿宋"/>
          <w:b w:val="0"/>
          <w:bCs w:val="0"/>
          <w:color w:val="auto"/>
          <w:highlight w:val="none"/>
        </w:rPr>
        <w:fldChar w:fldCharType="begin"/>
      </w:r>
      <w:r>
        <w:rPr>
          <w:rFonts w:hint="eastAsia" w:ascii="仿宋" w:hAnsi="仿宋" w:eastAsia="仿宋" w:cs="仿宋"/>
          <w:b w:val="0"/>
          <w:bCs w:val="0"/>
          <w:color w:val="auto"/>
          <w:highlight w:val="none"/>
        </w:rPr>
        <w:instrText xml:space="preserve"> PAGEREF _Toc16507 \h </w:instrText>
      </w:r>
      <w:r>
        <w:rPr>
          <w:rFonts w:hint="eastAsia" w:ascii="仿宋" w:hAnsi="仿宋" w:eastAsia="仿宋" w:cs="仿宋"/>
          <w:b w:val="0"/>
          <w:bCs w:val="0"/>
          <w:color w:val="auto"/>
          <w:highlight w:val="none"/>
        </w:rPr>
        <w:fldChar w:fldCharType="separate"/>
      </w:r>
      <w:r>
        <w:rPr>
          <w:rFonts w:hint="eastAsia" w:ascii="仿宋" w:hAnsi="仿宋" w:eastAsia="仿宋" w:cs="仿宋"/>
          <w:b w:val="0"/>
          <w:bCs w:val="0"/>
          <w:color w:val="auto"/>
          <w:highlight w:val="none"/>
        </w:rPr>
        <w:t>32</w:t>
      </w:r>
      <w:r>
        <w:rPr>
          <w:rFonts w:hint="eastAsia" w:ascii="仿宋" w:hAnsi="仿宋" w:eastAsia="仿宋" w:cs="仿宋"/>
          <w:b w:val="0"/>
          <w:bCs w:val="0"/>
          <w:color w:val="auto"/>
          <w:highlight w:val="none"/>
        </w:rPr>
        <w:fldChar w:fldCharType="end"/>
      </w:r>
      <w:r>
        <w:rPr>
          <w:rFonts w:hint="eastAsia" w:ascii="仿宋" w:hAnsi="仿宋" w:eastAsia="仿宋" w:cs="仿宋"/>
          <w:b w:val="0"/>
          <w:bCs w:val="0"/>
          <w:caps/>
          <w:color w:val="auto"/>
          <w:szCs w:val="20"/>
          <w:highlight w:val="none"/>
        </w:rPr>
        <w:fldChar w:fldCharType="end"/>
      </w:r>
    </w:p>
    <w:p w14:paraId="474FF210">
      <w:pPr>
        <w:pStyle w:val="19"/>
        <w:tabs>
          <w:tab w:val="right" w:leader="dot" w:pos="9746"/>
        </w:tabs>
        <w:rPr>
          <w:rFonts w:hint="eastAsia" w:ascii="仿宋" w:hAnsi="仿宋" w:eastAsia="仿宋" w:cs="仿宋"/>
          <w:b w:val="0"/>
          <w:bCs w:val="0"/>
          <w:color w:val="auto"/>
          <w:highlight w:val="none"/>
        </w:rPr>
      </w:pPr>
      <w:r>
        <w:rPr>
          <w:rFonts w:hint="eastAsia" w:ascii="仿宋" w:hAnsi="仿宋" w:eastAsia="仿宋" w:cs="仿宋"/>
          <w:b w:val="0"/>
          <w:bCs w:val="0"/>
          <w:caps/>
          <w:color w:val="auto"/>
          <w:szCs w:val="20"/>
          <w:highlight w:val="none"/>
        </w:rPr>
        <w:fldChar w:fldCharType="begin"/>
      </w:r>
      <w:r>
        <w:rPr>
          <w:rFonts w:hint="eastAsia" w:ascii="仿宋" w:hAnsi="仿宋" w:eastAsia="仿宋" w:cs="仿宋"/>
          <w:b w:val="0"/>
          <w:bCs w:val="0"/>
          <w:caps/>
          <w:color w:val="auto"/>
          <w:szCs w:val="20"/>
          <w:highlight w:val="none"/>
        </w:rPr>
        <w:instrText xml:space="preserve"> HYPERLINK \l _Toc14017 </w:instrText>
      </w:r>
      <w:r>
        <w:rPr>
          <w:rFonts w:hint="eastAsia" w:ascii="仿宋" w:hAnsi="仿宋" w:eastAsia="仿宋" w:cs="仿宋"/>
          <w:b w:val="0"/>
          <w:bCs w:val="0"/>
          <w:caps/>
          <w:color w:val="auto"/>
          <w:szCs w:val="20"/>
          <w:highlight w:val="none"/>
        </w:rPr>
        <w:fldChar w:fldCharType="separate"/>
      </w:r>
      <w:r>
        <w:rPr>
          <w:rFonts w:hint="eastAsia" w:ascii="仿宋" w:hAnsi="仿宋" w:eastAsia="仿宋" w:cs="仿宋"/>
          <w:b w:val="0"/>
          <w:bCs w:val="0"/>
          <w:color w:val="auto"/>
          <w:szCs w:val="32"/>
          <w:highlight w:val="none"/>
        </w:rPr>
        <w:t>第九章  采购合同（草案）</w:t>
      </w:r>
      <w:r>
        <w:rPr>
          <w:rFonts w:hint="eastAsia" w:ascii="仿宋" w:hAnsi="仿宋" w:eastAsia="仿宋" w:cs="仿宋"/>
          <w:b w:val="0"/>
          <w:bCs w:val="0"/>
          <w:color w:val="auto"/>
          <w:highlight w:val="none"/>
        </w:rPr>
        <w:tab/>
      </w:r>
      <w:r>
        <w:rPr>
          <w:rFonts w:hint="eastAsia" w:ascii="仿宋" w:hAnsi="仿宋" w:eastAsia="仿宋" w:cs="仿宋"/>
          <w:b w:val="0"/>
          <w:bCs w:val="0"/>
          <w:color w:val="auto"/>
          <w:highlight w:val="none"/>
        </w:rPr>
        <w:fldChar w:fldCharType="begin"/>
      </w:r>
      <w:r>
        <w:rPr>
          <w:rFonts w:hint="eastAsia" w:ascii="仿宋" w:hAnsi="仿宋" w:eastAsia="仿宋" w:cs="仿宋"/>
          <w:b w:val="0"/>
          <w:bCs w:val="0"/>
          <w:color w:val="auto"/>
          <w:highlight w:val="none"/>
        </w:rPr>
        <w:instrText xml:space="preserve"> PAGEREF _Toc14017 \h </w:instrText>
      </w:r>
      <w:r>
        <w:rPr>
          <w:rFonts w:hint="eastAsia" w:ascii="仿宋" w:hAnsi="仿宋" w:eastAsia="仿宋" w:cs="仿宋"/>
          <w:b w:val="0"/>
          <w:bCs w:val="0"/>
          <w:color w:val="auto"/>
          <w:highlight w:val="none"/>
        </w:rPr>
        <w:fldChar w:fldCharType="separate"/>
      </w:r>
      <w:r>
        <w:rPr>
          <w:rFonts w:hint="eastAsia" w:ascii="仿宋" w:hAnsi="仿宋" w:eastAsia="仿宋" w:cs="仿宋"/>
          <w:b w:val="0"/>
          <w:bCs w:val="0"/>
          <w:color w:val="auto"/>
          <w:highlight w:val="none"/>
        </w:rPr>
        <w:t>37</w:t>
      </w:r>
      <w:r>
        <w:rPr>
          <w:rFonts w:hint="eastAsia" w:ascii="仿宋" w:hAnsi="仿宋" w:eastAsia="仿宋" w:cs="仿宋"/>
          <w:b w:val="0"/>
          <w:bCs w:val="0"/>
          <w:color w:val="auto"/>
          <w:highlight w:val="none"/>
        </w:rPr>
        <w:fldChar w:fldCharType="end"/>
      </w:r>
      <w:r>
        <w:rPr>
          <w:rFonts w:hint="eastAsia" w:ascii="仿宋" w:hAnsi="仿宋" w:eastAsia="仿宋" w:cs="仿宋"/>
          <w:b w:val="0"/>
          <w:bCs w:val="0"/>
          <w:caps/>
          <w:color w:val="auto"/>
          <w:szCs w:val="20"/>
          <w:highlight w:val="none"/>
        </w:rPr>
        <w:fldChar w:fldCharType="end"/>
      </w:r>
    </w:p>
    <w:p w14:paraId="7302B012">
      <w:pPr>
        <w:pStyle w:val="19"/>
        <w:tabs>
          <w:tab w:val="right" w:leader="dot" w:pos="9746"/>
        </w:tabs>
        <w:rPr>
          <w:rFonts w:hint="eastAsia" w:ascii="仿宋" w:hAnsi="仿宋" w:eastAsia="仿宋" w:cs="仿宋"/>
          <w:b w:val="0"/>
          <w:bCs w:val="0"/>
          <w:caps/>
          <w:color w:val="auto"/>
          <w:szCs w:val="20"/>
          <w:highlight w:val="none"/>
          <w:lang w:val="en-US" w:eastAsia="zh-CN"/>
        </w:rPr>
      </w:pPr>
      <w:r>
        <w:rPr>
          <w:rFonts w:hint="eastAsia" w:ascii="仿宋" w:hAnsi="仿宋" w:eastAsia="仿宋" w:cs="仿宋"/>
          <w:b w:val="0"/>
          <w:bCs w:val="0"/>
          <w:caps/>
          <w:color w:val="auto"/>
          <w:szCs w:val="20"/>
          <w:highlight w:val="none"/>
        </w:rPr>
        <w:fldChar w:fldCharType="begin"/>
      </w:r>
      <w:r>
        <w:rPr>
          <w:rFonts w:hint="eastAsia" w:ascii="仿宋" w:hAnsi="仿宋" w:eastAsia="仿宋" w:cs="仿宋"/>
          <w:b w:val="0"/>
          <w:bCs w:val="0"/>
          <w:caps/>
          <w:color w:val="auto"/>
          <w:szCs w:val="20"/>
          <w:highlight w:val="none"/>
        </w:rPr>
        <w:instrText xml:space="preserve"> HYPERLINK \l _Toc14017 </w:instrText>
      </w:r>
      <w:r>
        <w:rPr>
          <w:rFonts w:hint="eastAsia" w:ascii="仿宋" w:hAnsi="仿宋" w:eastAsia="仿宋" w:cs="仿宋"/>
          <w:b w:val="0"/>
          <w:bCs w:val="0"/>
          <w:caps/>
          <w:color w:val="auto"/>
          <w:szCs w:val="20"/>
          <w:highlight w:val="none"/>
        </w:rPr>
        <w:fldChar w:fldCharType="separate"/>
      </w:r>
      <w:r>
        <w:rPr>
          <w:rFonts w:hint="eastAsia" w:ascii="仿宋" w:hAnsi="仿宋" w:eastAsia="仿宋" w:cs="仿宋"/>
          <w:b w:val="0"/>
          <w:bCs w:val="0"/>
          <w:color w:val="auto"/>
          <w:szCs w:val="32"/>
          <w:highlight w:val="none"/>
        </w:rPr>
        <w:t>第</w:t>
      </w:r>
      <w:r>
        <w:rPr>
          <w:rFonts w:hint="eastAsia" w:ascii="仿宋" w:hAnsi="仿宋" w:eastAsia="仿宋" w:cs="仿宋"/>
          <w:b w:val="0"/>
          <w:bCs w:val="0"/>
          <w:color w:val="auto"/>
          <w:szCs w:val="32"/>
          <w:highlight w:val="none"/>
          <w:lang w:eastAsia="zh-CN"/>
        </w:rPr>
        <w:t>十</w:t>
      </w:r>
      <w:r>
        <w:rPr>
          <w:rFonts w:hint="eastAsia" w:ascii="仿宋" w:hAnsi="仿宋" w:eastAsia="仿宋" w:cs="仿宋"/>
          <w:b w:val="0"/>
          <w:bCs w:val="0"/>
          <w:color w:val="auto"/>
          <w:szCs w:val="32"/>
          <w:highlight w:val="none"/>
        </w:rPr>
        <w:t xml:space="preserve">章  </w:t>
      </w:r>
      <w:r>
        <w:rPr>
          <w:rFonts w:hint="eastAsia" w:ascii="仿宋" w:hAnsi="仿宋" w:eastAsia="仿宋" w:cs="仿宋"/>
          <w:b w:val="0"/>
          <w:bCs w:val="0"/>
          <w:color w:val="auto"/>
          <w:szCs w:val="32"/>
          <w:highlight w:val="none"/>
          <w:lang w:eastAsia="zh-CN"/>
        </w:rPr>
        <w:t>附件</w:t>
      </w:r>
      <w:r>
        <w:rPr>
          <w:rFonts w:hint="eastAsia" w:ascii="仿宋" w:hAnsi="仿宋" w:eastAsia="仿宋" w:cs="仿宋"/>
          <w:b w:val="0"/>
          <w:bCs w:val="0"/>
          <w:color w:val="auto"/>
          <w:highlight w:val="none"/>
        </w:rPr>
        <w:tab/>
      </w:r>
      <w:r>
        <w:rPr>
          <w:rFonts w:hint="eastAsia" w:ascii="仿宋" w:hAnsi="仿宋" w:eastAsia="仿宋" w:cs="仿宋"/>
          <w:b w:val="0"/>
          <w:bCs w:val="0"/>
          <w:color w:val="auto"/>
          <w:highlight w:val="none"/>
          <w:lang w:val="en-US" w:eastAsia="zh-CN"/>
        </w:rPr>
        <w:t>3</w:t>
      </w:r>
      <w:r>
        <w:rPr>
          <w:rFonts w:hint="eastAsia" w:ascii="仿宋" w:hAnsi="仿宋" w:eastAsia="仿宋" w:cs="仿宋"/>
          <w:b w:val="0"/>
          <w:bCs w:val="0"/>
          <w:caps/>
          <w:color w:val="auto"/>
          <w:szCs w:val="20"/>
          <w:highlight w:val="none"/>
        </w:rPr>
        <w:fldChar w:fldCharType="end"/>
      </w:r>
      <w:r>
        <w:rPr>
          <w:rFonts w:hint="eastAsia" w:ascii="仿宋" w:hAnsi="仿宋" w:eastAsia="仿宋" w:cs="仿宋"/>
          <w:b w:val="0"/>
          <w:bCs w:val="0"/>
          <w:caps/>
          <w:color w:val="auto"/>
          <w:szCs w:val="20"/>
          <w:highlight w:val="none"/>
          <w:lang w:val="en-US" w:eastAsia="zh-CN"/>
        </w:rPr>
        <w:t>9</w:t>
      </w:r>
    </w:p>
    <w:p w14:paraId="1A3F8DE1">
      <w:pPr>
        <w:pStyle w:val="19"/>
        <w:tabs>
          <w:tab w:val="right" w:leader="dot" w:pos="9746"/>
        </w:tabs>
        <w:rPr>
          <w:rFonts w:hint="eastAsia" w:ascii="仿宋" w:hAnsi="仿宋" w:eastAsia="仿宋" w:cs="仿宋"/>
          <w:b w:val="0"/>
          <w:bCs w:val="0"/>
          <w:caps/>
          <w:color w:val="auto"/>
          <w:szCs w:val="20"/>
          <w:highlight w:val="none"/>
        </w:rPr>
      </w:pPr>
    </w:p>
    <w:p w14:paraId="6C72983D">
      <w:pPr>
        <w:rPr>
          <w:rFonts w:hint="eastAsia"/>
          <w:color w:val="auto"/>
          <w:highlight w:val="none"/>
        </w:rPr>
      </w:pPr>
    </w:p>
    <w:p w14:paraId="666BC92E">
      <w:pPr>
        <w:rPr>
          <w:rFonts w:hint="eastAsia" w:ascii="仿宋" w:hAnsi="仿宋" w:eastAsia="仿宋" w:cs="仿宋"/>
          <w:color w:val="auto"/>
          <w:highlight w:val="none"/>
        </w:rPr>
      </w:pPr>
      <w:r>
        <w:rPr>
          <w:rFonts w:hint="eastAsia" w:ascii="仿宋" w:hAnsi="仿宋" w:eastAsia="仿宋" w:cs="仿宋"/>
          <w:b w:val="0"/>
          <w:bCs w:val="0"/>
          <w:caps/>
          <w:color w:val="auto"/>
          <w:szCs w:val="20"/>
          <w:highlight w:val="none"/>
        </w:rPr>
        <w:fldChar w:fldCharType="end"/>
      </w:r>
    </w:p>
    <w:p w14:paraId="0E2C2DA2">
      <w:pPr>
        <w:jc w:val="left"/>
        <w:rPr>
          <w:rFonts w:hint="eastAsia" w:ascii="仿宋" w:hAnsi="仿宋" w:eastAsia="仿宋" w:cs="仿宋"/>
          <w:color w:val="auto"/>
          <w:sz w:val="32"/>
          <w:szCs w:val="32"/>
          <w:highlight w:val="none"/>
        </w:rPr>
      </w:pPr>
    </w:p>
    <w:p w14:paraId="632107E7">
      <w:pPr>
        <w:pStyle w:val="3"/>
        <w:spacing w:line="240" w:lineRule="auto"/>
        <w:jc w:val="center"/>
        <w:rPr>
          <w:rFonts w:hint="eastAsia" w:ascii="仿宋" w:hAnsi="仿宋" w:eastAsia="仿宋" w:cs="仿宋"/>
          <w:color w:val="auto"/>
          <w:sz w:val="32"/>
          <w:szCs w:val="32"/>
          <w:highlight w:val="none"/>
        </w:rPr>
        <w:sectPr>
          <w:footerReference r:id="rId7" w:type="first"/>
          <w:footerReference r:id="rId6" w:type="default"/>
          <w:pgSz w:w="11906" w:h="16838"/>
          <w:pgMar w:top="1440" w:right="1080" w:bottom="1440" w:left="1080" w:header="851" w:footer="992" w:gutter="0"/>
          <w:pgNumType w:fmt="decimal" w:start="1"/>
          <w:cols w:space="720" w:num="1"/>
          <w:docGrid w:type="lines" w:linePitch="312" w:charSpace="0"/>
        </w:sectPr>
      </w:pPr>
      <w:bookmarkStart w:id="0" w:name="_Toc509380473"/>
      <w:bookmarkStart w:id="1" w:name="_Toc498592998"/>
      <w:bookmarkStart w:id="2" w:name="_Toc21350"/>
      <w:bookmarkStart w:id="3" w:name="_Toc498593023"/>
    </w:p>
    <w:p w14:paraId="4F6E87A0">
      <w:pPr>
        <w:pStyle w:val="3"/>
        <w:spacing w:line="24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第一章  谈判邀请</w:t>
      </w:r>
      <w:bookmarkEnd w:id="0"/>
      <w:bookmarkEnd w:id="1"/>
      <w:bookmarkEnd w:id="2"/>
      <w:bookmarkEnd w:id="3"/>
    </w:p>
    <w:p w14:paraId="74932096">
      <w:pPr>
        <w:spacing w:line="400" w:lineRule="exact"/>
        <w:rPr>
          <w:rFonts w:hint="eastAsia" w:ascii="仿宋" w:hAnsi="仿宋" w:eastAsia="仿宋" w:cs="仿宋"/>
          <w:color w:val="auto"/>
          <w:w w:val="90"/>
          <w:szCs w:val="21"/>
          <w:highlight w:val="none"/>
        </w:rPr>
      </w:pPr>
      <w:r>
        <w:rPr>
          <w:rFonts w:hint="eastAsia" w:ascii="仿宋" w:hAnsi="仿宋" w:eastAsia="仿宋" w:cs="仿宋"/>
          <w:color w:val="auto"/>
          <w:w w:val="90"/>
          <w:szCs w:val="21"/>
          <w:highlight w:val="none"/>
        </w:rPr>
        <w:t>采购人委托采购代理机构拟对下述项目采用竞争性谈判采购方式进行采购，兹邀请符合本次采购要求的供应商参加本次采购活动。</w:t>
      </w:r>
    </w:p>
    <w:p w14:paraId="42696B81">
      <w:pPr>
        <w:pStyle w:val="54"/>
        <w:numPr>
          <w:ilvl w:val="0"/>
          <w:numId w:val="1"/>
        </w:numPr>
        <w:spacing w:line="400" w:lineRule="exact"/>
        <w:ind w:firstLineChars="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采购项目基本情况</w:t>
      </w:r>
    </w:p>
    <w:p w14:paraId="37021E15">
      <w:pPr>
        <w:pStyle w:val="54"/>
        <w:numPr>
          <w:ilvl w:val="1"/>
          <w:numId w:val="1"/>
        </w:numPr>
        <w:spacing w:line="400" w:lineRule="exact"/>
        <w:ind w:firstLineChars="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项目编号</w:t>
      </w:r>
      <w:r>
        <w:rPr>
          <w:rFonts w:hint="eastAsia" w:ascii="仿宋" w:hAnsi="仿宋" w:eastAsia="仿宋" w:cs="仿宋"/>
          <w:color w:val="auto"/>
          <w:szCs w:val="21"/>
          <w:highlight w:val="none"/>
          <w:u w:val="none"/>
        </w:rPr>
        <w:t>：</w:t>
      </w:r>
      <w:r>
        <w:rPr>
          <w:rFonts w:hint="eastAsia" w:ascii="仿宋" w:hAnsi="仿宋" w:eastAsia="仿宋" w:cs="仿宋"/>
          <w:color w:val="auto"/>
          <w:szCs w:val="21"/>
          <w:highlight w:val="none"/>
          <w:u w:val="single"/>
          <w:lang w:eastAsia="zh-CN"/>
        </w:rPr>
        <w:t>XYXG2025033</w:t>
      </w:r>
    </w:p>
    <w:p w14:paraId="2021FF8B">
      <w:pPr>
        <w:pStyle w:val="54"/>
        <w:numPr>
          <w:ilvl w:val="1"/>
          <w:numId w:val="1"/>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项目名称：</w:t>
      </w:r>
      <w:r>
        <w:rPr>
          <w:rFonts w:hint="eastAsia" w:ascii="仿宋" w:hAnsi="仿宋" w:eastAsia="仿宋" w:cs="仿宋"/>
          <w:color w:val="auto"/>
          <w:szCs w:val="21"/>
          <w:highlight w:val="none"/>
          <w:u w:val="single"/>
          <w:lang w:val="en-US" w:eastAsia="zh-CN"/>
        </w:rPr>
        <w:t>自贡市自然资源统一确权（四川自贡恐龙国家地质公园、四川省飞龙峡省级森林公园）项目</w:t>
      </w:r>
    </w:p>
    <w:p w14:paraId="70949AA7">
      <w:pPr>
        <w:pStyle w:val="54"/>
        <w:numPr>
          <w:ilvl w:val="1"/>
          <w:numId w:val="1"/>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项目要求：见第五章</w:t>
      </w:r>
    </w:p>
    <w:p w14:paraId="729068FC">
      <w:pPr>
        <w:pStyle w:val="54"/>
        <w:numPr>
          <w:ilvl w:val="0"/>
          <w:numId w:val="1"/>
        </w:numPr>
        <w:spacing w:line="400" w:lineRule="exact"/>
        <w:ind w:firstLineChars="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资金情况</w:t>
      </w:r>
    </w:p>
    <w:p w14:paraId="366FA455">
      <w:pPr>
        <w:numPr>
          <w:ilvl w:val="1"/>
          <w:numId w:val="1"/>
        </w:num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预算金额：</w:t>
      </w:r>
      <w:r>
        <w:rPr>
          <w:rFonts w:hint="eastAsia" w:ascii="仿宋" w:hAnsi="仿宋" w:eastAsia="仿宋" w:cs="仿宋"/>
          <w:color w:val="auto"/>
          <w:szCs w:val="21"/>
          <w:highlight w:val="none"/>
          <w:u w:val="single"/>
          <w:lang w:val="en-US" w:eastAsia="zh-CN"/>
        </w:rPr>
        <w:t>200000.00元（大写：贰拾万元整）</w:t>
      </w:r>
    </w:p>
    <w:p w14:paraId="6A02A06F">
      <w:pPr>
        <w:numPr>
          <w:ilvl w:val="1"/>
          <w:numId w:val="1"/>
        </w:num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最高限价：</w:t>
      </w:r>
      <w:r>
        <w:rPr>
          <w:rFonts w:hint="eastAsia" w:ascii="仿宋" w:hAnsi="仿宋" w:eastAsia="仿宋" w:cs="仿宋"/>
          <w:color w:val="auto"/>
          <w:szCs w:val="21"/>
          <w:highlight w:val="none"/>
          <w:u w:val="single"/>
          <w:lang w:val="en-US" w:eastAsia="zh-CN"/>
        </w:rPr>
        <w:t>200000.00元（大写：贰拾万元整）</w:t>
      </w:r>
    </w:p>
    <w:p w14:paraId="0FC8E7F8">
      <w:pPr>
        <w:pStyle w:val="54"/>
        <w:numPr>
          <w:ilvl w:val="0"/>
          <w:numId w:val="1"/>
        </w:numPr>
        <w:spacing w:line="400" w:lineRule="exact"/>
        <w:ind w:firstLineChars="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邀请供应商</w:t>
      </w:r>
    </w:p>
    <w:p w14:paraId="5FD87286">
      <w:pPr>
        <w:numPr>
          <w:ilvl w:val="0"/>
          <w:numId w:val="0"/>
        </w:numPr>
        <w:spacing w:line="400" w:lineRule="exact"/>
        <w:ind w:left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本次采购活动通过以下方式邀请不少于3家符合相应资格条件的供应商参与：</w:t>
      </w:r>
    </w:p>
    <w:p w14:paraId="1AD0542F">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sym w:font="Wingdings" w:char="00FE"/>
      </w:r>
      <w:r>
        <w:rPr>
          <w:rFonts w:hint="eastAsia" w:ascii="仿宋" w:hAnsi="仿宋" w:eastAsia="仿宋" w:cs="仿宋"/>
          <w:color w:val="auto"/>
          <w:szCs w:val="21"/>
          <w:highlight w:val="none"/>
        </w:rPr>
        <w:t xml:space="preserve">  发布公告。公告媒介：</w:t>
      </w:r>
      <w:r>
        <w:rPr>
          <w:rFonts w:hint="eastAsia" w:ascii="仿宋" w:hAnsi="仿宋" w:eastAsia="仿宋" w:cs="仿宋"/>
          <w:color w:val="auto"/>
          <w:szCs w:val="21"/>
          <w:highlight w:val="none"/>
          <w:lang w:eastAsia="zh-CN"/>
        </w:rPr>
        <w:t>四川招投标网（www.scbid.com）</w:t>
      </w:r>
      <w:r>
        <w:rPr>
          <w:rFonts w:hint="eastAsia" w:ascii="仿宋" w:hAnsi="仿宋" w:eastAsia="仿宋" w:cs="仿宋"/>
          <w:color w:val="auto"/>
          <w:szCs w:val="21"/>
          <w:highlight w:val="none"/>
        </w:rPr>
        <w:t>。</w:t>
      </w:r>
    </w:p>
    <w:p w14:paraId="0012093A">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sym w:font="Wingdings" w:char="F0A8"/>
      </w:r>
      <w:r>
        <w:rPr>
          <w:rFonts w:hint="eastAsia" w:ascii="仿宋" w:hAnsi="仿宋" w:eastAsia="仿宋" w:cs="仿宋"/>
          <w:color w:val="auto"/>
          <w:szCs w:val="21"/>
          <w:highlight w:val="none"/>
        </w:rPr>
        <w:t xml:space="preserve">  从省级以上财政部门建立的供应商库中随机抽取。</w:t>
      </w:r>
    </w:p>
    <w:p w14:paraId="1A8568C6">
      <w:pPr>
        <w:pStyle w:val="60"/>
        <w:spacing w:line="40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sym w:font="Wingdings" w:char="00A8"/>
      </w:r>
      <w:r>
        <w:rPr>
          <w:rFonts w:hint="eastAsia" w:ascii="仿宋" w:hAnsi="仿宋" w:eastAsia="仿宋" w:cs="仿宋"/>
          <w:color w:val="auto"/>
          <w:highlight w:val="none"/>
        </w:rPr>
        <w:t xml:space="preserve">  采购人和评审专家分别书面推荐。</w:t>
      </w:r>
    </w:p>
    <w:p w14:paraId="690FAA08">
      <w:pPr>
        <w:pStyle w:val="54"/>
        <w:numPr>
          <w:ilvl w:val="0"/>
          <w:numId w:val="1"/>
        </w:numPr>
        <w:spacing w:line="400" w:lineRule="exact"/>
        <w:ind w:firstLineChars="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供应商的资格要求</w:t>
      </w:r>
    </w:p>
    <w:p w14:paraId="6B5A7026">
      <w:pPr>
        <w:pStyle w:val="54"/>
        <w:numPr>
          <w:ilvl w:val="1"/>
          <w:numId w:val="1"/>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见第三章。</w:t>
      </w:r>
    </w:p>
    <w:p w14:paraId="6C28856A">
      <w:pPr>
        <w:pStyle w:val="54"/>
        <w:numPr>
          <w:ilvl w:val="0"/>
          <w:numId w:val="1"/>
        </w:numPr>
        <w:spacing w:line="400" w:lineRule="exact"/>
        <w:ind w:firstLineChars="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获取采购文件</w:t>
      </w:r>
    </w:p>
    <w:p w14:paraId="02951CD5">
      <w:pPr>
        <w:pStyle w:val="54"/>
        <w:numPr>
          <w:ilvl w:val="1"/>
          <w:numId w:val="1"/>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获取时间：</w:t>
      </w:r>
      <w:r>
        <w:rPr>
          <w:rFonts w:hint="eastAsia" w:ascii="仿宋" w:hAnsi="仿宋" w:eastAsia="仿宋" w:cs="仿宋"/>
          <w:color w:val="auto"/>
          <w:szCs w:val="21"/>
          <w:highlight w:val="none"/>
          <w:lang w:val="en-US" w:eastAsia="zh-CN"/>
        </w:rPr>
        <w:t>2025年7月14日-2025年7月16日，上午09:00-12：00，下午14:00-17:00（北京时间，法定节假日除外）</w:t>
      </w:r>
    </w:p>
    <w:p w14:paraId="24682D00">
      <w:pPr>
        <w:numPr>
          <w:ilvl w:val="1"/>
          <w:numId w:val="1"/>
        </w:num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获取地点：</w:t>
      </w:r>
      <w:r>
        <w:rPr>
          <w:rFonts w:hint="eastAsia" w:ascii="仿宋" w:hAnsi="仿宋" w:eastAsia="仿宋" w:cs="仿宋"/>
          <w:color w:val="auto"/>
          <w:szCs w:val="21"/>
          <w:highlight w:val="none"/>
          <w:lang w:val="en-US" w:eastAsia="zh-CN"/>
        </w:rPr>
        <w:t>四川省自贡市自流井区华园街春华38栋201号（梨园市场二楼）四川鑫益工程项目管理有限公司。</w:t>
      </w:r>
    </w:p>
    <w:p w14:paraId="1A01E87C">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567" w:hanging="567"/>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获取方式：</w:t>
      </w:r>
      <w:r>
        <w:rPr>
          <w:rFonts w:hint="eastAsia" w:ascii="仿宋" w:hAnsi="仿宋" w:eastAsia="仿宋" w:cs="仿宋"/>
          <w:color w:val="auto"/>
          <w:szCs w:val="21"/>
          <w:highlight w:val="none"/>
          <w:lang w:val="en-US" w:eastAsia="zh-CN"/>
        </w:rPr>
        <w:t>现场或网络方式获取，文件售价：人民币300元/份（除非本项目终止，谈判文件售后不退，谈判资格不能转让）。未购买谈判文件并登记备案的供应商不得参加本项目谈判。</w:t>
      </w:r>
    </w:p>
    <w:p w14:paraId="059373B5">
      <w:pPr>
        <w:pStyle w:val="54"/>
        <w:numPr>
          <w:ilvl w:val="0"/>
          <w:numId w:val="2"/>
        </w:numPr>
        <w:spacing w:line="400" w:lineRule="exact"/>
        <w:ind w:left="425" w:leftChars="0" w:hanging="425" w:firstLineChars="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购买谈判文件须提供的资料：供应商为法人或者其他组织的，须提供报名登记表（加盖单位鲜章）、单位介绍信原件（加盖单位鲜章）、经办人身份证明复印件（加盖单位鲜章）；供应商为自然人的，须提供报名登记表（加盖指印）、本人身份证明材料复印件（加盖指印）。</w:t>
      </w:r>
    </w:p>
    <w:p w14:paraId="7E027412">
      <w:pPr>
        <w:pStyle w:val="54"/>
        <w:numPr>
          <w:ilvl w:val="0"/>
          <w:numId w:val="2"/>
        </w:numPr>
        <w:spacing w:line="400" w:lineRule="exact"/>
        <w:ind w:left="425" w:leftChars="0" w:hanging="425" w:firstLineChars="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网络办理：</w:t>
      </w:r>
      <w:r>
        <w:rPr>
          <w:rFonts w:hint="eastAsia" w:ascii="仿宋" w:hAnsi="仿宋" w:eastAsia="仿宋" w:cs="仿宋"/>
          <w:color w:val="auto"/>
          <w:szCs w:val="21"/>
          <w:highlight w:val="none"/>
          <w:lang w:val="en-US" w:eastAsia="zh-CN"/>
        </w:rPr>
        <w:fldChar w:fldCharType="begin"/>
      </w:r>
      <w:r>
        <w:rPr>
          <w:rFonts w:hint="eastAsia" w:ascii="仿宋" w:hAnsi="仿宋" w:eastAsia="仿宋" w:cs="仿宋"/>
          <w:color w:val="auto"/>
          <w:szCs w:val="21"/>
          <w:highlight w:val="none"/>
          <w:lang w:val="en-US" w:eastAsia="zh-CN"/>
        </w:rPr>
        <w:instrText xml:space="preserve"> HYPERLINK "mailto:将购买招标文件需提供的资料发送至529570210@qq.com邮箱，后电话联系我司工作人员（卢女士" </w:instrText>
      </w:r>
      <w:r>
        <w:rPr>
          <w:rFonts w:hint="eastAsia" w:ascii="仿宋" w:hAnsi="仿宋" w:eastAsia="仿宋" w:cs="仿宋"/>
          <w:color w:val="auto"/>
          <w:szCs w:val="21"/>
          <w:highlight w:val="none"/>
          <w:lang w:val="en-US" w:eastAsia="zh-CN"/>
        </w:rPr>
        <w:fldChar w:fldCharType="separate"/>
      </w:r>
      <w:r>
        <w:rPr>
          <w:rFonts w:hint="eastAsia" w:ascii="仿宋" w:hAnsi="仿宋" w:eastAsia="仿宋" w:cs="仿宋"/>
          <w:color w:val="auto"/>
          <w:szCs w:val="21"/>
          <w:highlight w:val="none"/>
          <w:lang w:val="en-US" w:eastAsia="zh-CN"/>
        </w:rPr>
        <w:t>将购买谈判文件须提供的资料扫描件发送至scxygcxmgl@126.com邮箱，后电话联系我司工作人员（邱</w:t>
      </w:r>
      <w:r>
        <w:rPr>
          <w:rFonts w:hint="eastAsia" w:ascii="仿宋" w:hAnsi="仿宋" w:eastAsia="仿宋" w:cs="仿宋"/>
          <w:color w:val="auto"/>
          <w:szCs w:val="21"/>
          <w:highlight w:val="none"/>
          <w:lang w:val="en-US" w:eastAsia="zh-CN"/>
        </w:rPr>
        <w:fldChar w:fldCharType="end"/>
      </w:r>
      <w:r>
        <w:rPr>
          <w:rFonts w:hint="eastAsia" w:ascii="仿宋" w:hAnsi="仿宋" w:eastAsia="仿宋" w:cs="仿宋"/>
          <w:color w:val="auto"/>
          <w:szCs w:val="21"/>
          <w:highlight w:val="none"/>
          <w:lang w:val="en-US" w:eastAsia="zh-CN"/>
        </w:rPr>
        <w:t>先生 18180926606）完成报名登记。</w:t>
      </w:r>
    </w:p>
    <w:p w14:paraId="6A74C09F">
      <w:pPr>
        <w:pStyle w:val="54"/>
        <w:numPr>
          <w:ilvl w:val="0"/>
          <w:numId w:val="2"/>
        </w:numPr>
        <w:spacing w:line="400" w:lineRule="exact"/>
        <w:ind w:left="425" w:leftChars="0" w:hanging="425" w:firstLineChars="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标书款收取方式：（请在转账时备注公司名称）</w:t>
      </w:r>
    </w:p>
    <w:p w14:paraId="56C24765">
      <w:pPr>
        <w:pStyle w:val="54"/>
        <w:numPr>
          <w:ilvl w:val="0"/>
          <w:numId w:val="3"/>
        </w:numPr>
        <w:spacing w:line="400" w:lineRule="exact"/>
        <w:ind w:left="0" w:leftChars="0" w:firstLine="0" w:firstLineChars="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微信二维码；</w:t>
      </w:r>
    </w:p>
    <w:p w14:paraId="0C77A330">
      <w:pPr>
        <w:pStyle w:val="54"/>
        <w:numPr>
          <w:ilvl w:val="0"/>
          <w:numId w:val="3"/>
        </w:numPr>
        <w:spacing w:line="400" w:lineRule="exact"/>
        <w:ind w:left="0" w:leftChars="0" w:firstLine="0" w:firstLineChars="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银行转账或电汇。</w:t>
      </w:r>
    </w:p>
    <w:p w14:paraId="3EB71FEA">
      <w:pPr>
        <w:pStyle w:val="54"/>
        <w:spacing w:line="400" w:lineRule="exact"/>
        <w:ind w:left="420" w:leftChars="0" w:firstLine="0" w:firstLineChars="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收款单位：四川鑫益工程项目管理有限公司；</w:t>
      </w:r>
    </w:p>
    <w:p w14:paraId="26A25D02">
      <w:pPr>
        <w:pStyle w:val="54"/>
        <w:spacing w:line="400" w:lineRule="exact"/>
        <w:ind w:left="420" w:leftChars="0" w:firstLine="0" w:firstLineChars="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账    号：2000167882000014；</w:t>
      </w:r>
    </w:p>
    <w:p w14:paraId="4BC3FC8F">
      <w:pPr>
        <w:pStyle w:val="54"/>
        <w:spacing w:line="400" w:lineRule="exact"/>
        <w:ind w:left="420" w:leftChars="0" w:firstLine="0" w:firstLineChars="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开 户 行：四川天府银行股份有限公司自贡分行。</w:t>
      </w:r>
    </w:p>
    <w:p w14:paraId="1C79C2D5">
      <w:pPr>
        <w:pStyle w:val="54"/>
        <w:spacing w:line="400" w:lineRule="exact"/>
        <w:ind w:left="420" w:leftChars="0" w:firstLine="0" w:firstLineChars="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以银行转账或电汇方式缴纳标书款的，交款时间以银行下账时间为准，下账截止时间同谈判文件发售截止时间。</w:t>
      </w:r>
    </w:p>
    <w:p w14:paraId="3A440D67">
      <w:pPr>
        <w:pStyle w:val="54"/>
        <w:numPr>
          <w:ilvl w:val="0"/>
          <w:numId w:val="1"/>
        </w:numPr>
        <w:spacing w:line="400" w:lineRule="exact"/>
        <w:ind w:firstLineChars="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响应文件提交</w:t>
      </w:r>
    </w:p>
    <w:p w14:paraId="5517131F">
      <w:pPr>
        <w:pStyle w:val="54"/>
        <w:numPr>
          <w:ilvl w:val="1"/>
          <w:numId w:val="1"/>
        </w:numPr>
        <w:spacing w:line="400" w:lineRule="exact"/>
        <w:ind w:firstLineChars="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截止时间：</w:t>
      </w:r>
      <w:r>
        <w:rPr>
          <w:rFonts w:hint="eastAsia" w:ascii="仿宋" w:hAnsi="仿宋" w:eastAsia="仿宋" w:cs="仿宋"/>
          <w:color w:val="auto"/>
          <w:szCs w:val="21"/>
          <w:highlight w:val="none"/>
          <w:lang w:eastAsia="zh-CN"/>
        </w:rPr>
        <w:t>2025</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lang w:val="en-US" w:eastAsia="zh-CN"/>
        </w:rPr>
        <w:t>21</w:t>
      </w:r>
      <w:r>
        <w:rPr>
          <w:rFonts w:hint="eastAsia" w:ascii="仿宋" w:hAnsi="仿宋" w:eastAsia="仿宋" w:cs="仿宋"/>
          <w:color w:val="auto"/>
          <w:szCs w:val="21"/>
          <w:highlight w:val="none"/>
        </w:rPr>
        <w:t>日</w:t>
      </w:r>
      <w:r>
        <w:rPr>
          <w:rFonts w:hint="eastAsia" w:ascii="仿宋" w:hAnsi="仿宋" w:eastAsia="仿宋" w:cs="仿宋"/>
          <w:color w:val="auto"/>
          <w:szCs w:val="21"/>
          <w:highlight w:val="none"/>
          <w:lang w:val="en-US" w:eastAsia="zh-CN"/>
        </w:rPr>
        <w:t>15</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00</w:t>
      </w:r>
      <w:r>
        <w:rPr>
          <w:rFonts w:hint="eastAsia" w:ascii="仿宋" w:hAnsi="仿宋" w:eastAsia="仿宋" w:cs="仿宋"/>
          <w:color w:val="auto"/>
          <w:szCs w:val="21"/>
          <w:highlight w:val="none"/>
        </w:rPr>
        <w:t>（北京时间）</w:t>
      </w:r>
    </w:p>
    <w:p w14:paraId="4D86964B">
      <w:pPr>
        <w:pStyle w:val="54"/>
        <w:numPr>
          <w:ilvl w:val="1"/>
          <w:numId w:val="1"/>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提交</w:t>
      </w:r>
      <w:r>
        <w:rPr>
          <w:rFonts w:hint="eastAsia" w:ascii="仿宋" w:hAnsi="仿宋" w:eastAsia="仿宋" w:cs="仿宋"/>
          <w:color w:val="auto"/>
          <w:szCs w:val="21"/>
          <w:highlight w:val="none"/>
          <w:lang w:eastAsia="zh-CN"/>
        </w:rPr>
        <w:t>地点</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四川省自贡市自流井区华园街春华38栋201号（梨园市场二楼）四川鑫益工程项目管理有限公司开标厅</w:t>
      </w:r>
      <w:r>
        <w:rPr>
          <w:rFonts w:hint="eastAsia" w:ascii="仿宋" w:hAnsi="仿宋" w:eastAsia="仿宋" w:cs="仿宋"/>
          <w:color w:val="auto"/>
          <w:szCs w:val="21"/>
          <w:highlight w:val="none"/>
          <w:lang w:eastAsia="zh-CN"/>
        </w:rPr>
        <w:t>。逾期送达或未按谈判文件要求进行密封标注的响应文件，采购人/采购代理机构恕不接收。本次采购不接收邮寄的响应文件。</w:t>
      </w:r>
    </w:p>
    <w:p w14:paraId="48ADB396">
      <w:pPr>
        <w:pStyle w:val="54"/>
        <w:numPr>
          <w:ilvl w:val="0"/>
          <w:numId w:val="1"/>
        </w:numPr>
        <w:spacing w:line="400" w:lineRule="exact"/>
        <w:ind w:firstLineChars="0"/>
        <w:rPr>
          <w:rFonts w:hint="eastAsia" w:ascii="仿宋" w:hAnsi="仿宋" w:eastAsia="仿宋" w:cs="仿宋"/>
          <w:b/>
          <w:bCs/>
          <w:color w:val="auto"/>
          <w:kern w:val="44"/>
          <w:sz w:val="32"/>
          <w:szCs w:val="32"/>
          <w:highlight w:val="none"/>
        </w:rPr>
      </w:pPr>
      <w:r>
        <w:rPr>
          <w:rFonts w:hint="eastAsia" w:ascii="仿宋" w:hAnsi="仿宋" w:eastAsia="仿宋" w:cs="仿宋"/>
          <w:b/>
          <w:color w:val="auto"/>
          <w:szCs w:val="21"/>
          <w:highlight w:val="none"/>
        </w:rPr>
        <w:t>响应文件开启</w:t>
      </w:r>
    </w:p>
    <w:p w14:paraId="4978604B">
      <w:pPr>
        <w:numPr>
          <w:ilvl w:val="1"/>
          <w:numId w:val="1"/>
        </w:num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开启时间：</w:t>
      </w:r>
      <w:r>
        <w:rPr>
          <w:rFonts w:hint="eastAsia" w:ascii="仿宋" w:hAnsi="仿宋" w:eastAsia="仿宋" w:cs="仿宋"/>
          <w:color w:val="auto"/>
          <w:szCs w:val="21"/>
          <w:highlight w:val="none"/>
          <w:lang w:eastAsia="zh-CN"/>
        </w:rPr>
        <w:t>2025</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lang w:val="en-US" w:eastAsia="zh-CN"/>
        </w:rPr>
        <w:t>21</w:t>
      </w:r>
      <w:r>
        <w:rPr>
          <w:rFonts w:hint="eastAsia" w:ascii="仿宋" w:hAnsi="仿宋" w:eastAsia="仿宋" w:cs="仿宋"/>
          <w:color w:val="auto"/>
          <w:szCs w:val="21"/>
          <w:highlight w:val="none"/>
        </w:rPr>
        <w:t>日</w:t>
      </w:r>
      <w:r>
        <w:rPr>
          <w:rFonts w:hint="eastAsia" w:ascii="仿宋" w:hAnsi="仿宋" w:eastAsia="仿宋" w:cs="仿宋"/>
          <w:color w:val="auto"/>
          <w:szCs w:val="21"/>
          <w:highlight w:val="none"/>
          <w:lang w:val="en-US" w:eastAsia="zh-CN"/>
        </w:rPr>
        <w:t>15</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00</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北京时间）在谈判地点开启。</w:t>
      </w:r>
    </w:p>
    <w:p w14:paraId="6E105981">
      <w:pPr>
        <w:numPr>
          <w:ilvl w:val="0"/>
          <w:numId w:val="1"/>
        </w:numPr>
        <w:spacing w:line="400" w:lineRule="exac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谈判</w:t>
      </w:r>
      <w:r>
        <w:rPr>
          <w:rFonts w:hint="eastAsia" w:ascii="仿宋" w:hAnsi="仿宋" w:eastAsia="仿宋" w:cs="仿宋"/>
          <w:b/>
          <w:color w:val="auto"/>
          <w:szCs w:val="21"/>
          <w:highlight w:val="none"/>
          <w:lang w:eastAsia="zh-CN"/>
        </w:rPr>
        <w:t>地点</w:t>
      </w:r>
    </w:p>
    <w:p w14:paraId="5CD6D235">
      <w:pPr>
        <w:numPr>
          <w:ilvl w:val="1"/>
          <w:numId w:val="1"/>
        </w:num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谈判</w:t>
      </w:r>
      <w:r>
        <w:rPr>
          <w:rFonts w:hint="eastAsia" w:ascii="仿宋" w:hAnsi="仿宋" w:eastAsia="仿宋" w:cs="仿宋"/>
          <w:color w:val="auto"/>
          <w:szCs w:val="21"/>
          <w:highlight w:val="none"/>
          <w:lang w:eastAsia="zh-CN"/>
        </w:rPr>
        <w:t>地点</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四川省自贡市自流井区华园街春华38栋201号（梨园市场二楼）四川鑫益工程项目管理有限公司评审室</w:t>
      </w:r>
      <w:r>
        <w:rPr>
          <w:rFonts w:hint="eastAsia" w:ascii="仿宋" w:hAnsi="仿宋" w:eastAsia="仿宋" w:cs="仿宋"/>
          <w:color w:val="auto"/>
          <w:szCs w:val="21"/>
          <w:highlight w:val="none"/>
          <w:lang w:eastAsia="zh-CN"/>
        </w:rPr>
        <w:t>。</w:t>
      </w:r>
    </w:p>
    <w:p w14:paraId="30042455">
      <w:pPr>
        <w:pStyle w:val="54"/>
        <w:numPr>
          <w:ilvl w:val="0"/>
          <w:numId w:val="1"/>
        </w:numPr>
        <w:spacing w:line="400" w:lineRule="exact"/>
        <w:ind w:firstLineChars="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联系方式</w:t>
      </w:r>
    </w:p>
    <w:p w14:paraId="39F94480">
      <w:pPr>
        <w:pStyle w:val="54"/>
        <w:numPr>
          <w:ilvl w:val="1"/>
          <w:numId w:val="1"/>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采购人联系方式</w:t>
      </w:r>
    </w:p>
    <w:p w14:paraId="1B920D0F">
      <w:pPr>
        <w:pStyle w:val="54"/>
        <w:spacing w:line="400" w:lineRule="exact"/>
        <w:ind w:left="567" w:firstLine="0" w:firstLineChars="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名    称：</w:t>
      </w:r>
      <w:r>
        <w:rPr>
          <w:rFonts w:hint="eastAsia" w:ascii="仿宋" w:hAnsi="仿宋" w:eastAsia="仿宋" w:cs="仿宋"/>
          <w:color w:val="auto"/>
          <w:szCs w:val="21"/>
          <w:highlight w:val="none"/>
          <w:u w:val="single"/>
          <w:lang w:eastAsia="zh-CN"/>
        </w:rPr>
        <w:t>自贡市自然资源和规划局</w:t>
      </w:r>
    </w:p>
    <w:p w14:paraId="239BC182">
      <w:pPr>
        <w:pStyle w:val="54"/>
        <w:spacing w:line="400" w:lineRule="exact"/>
        <w:ind w:left="567" w:firstLine="0" w:firstLineChars="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地    址：</w:t>
      </w:r>
      <w:r>
        <w:rPr>
          <w:rFonts w:hint="eastAsia" w:ascii="仿宋" w:hAnsi="仿宋" w:eastAsia="仿宋" w:cs="仿宋"/>
          <w:color w:val="auto"/>
          <w:szCs w:val="21"/>
          <w:highlight w:val="none"/>
          <w:u w:val="single"/>
        </w:rPr>
        <w:t>自贡市自流井区丹桂北大街326号</w:t>
      </w:r>
    </w:p>
    <w:p w14:paraId="4CAACCAA">
      <w:pPr>
        <w:pStyle w:val="54"/>
        <w:spacing w:line="400" w:lineRule="exact"/>
        <w:ind w:left="567" w:firstLine="0" w:firstLineChars="0"/>
        <w:rPr>
          <w:rFonts w:hint="default" w:ascii="仿宋" w:hAnsi="仿宋" w:eastAsia="仿宋" w:cs="仿宋"/>
          <w:color w:val="auto"/>
          <w:szCs w:val="21"/>
          <w:highlight w:val="none"/>
          <w:lang w:val="en-US"/>
        </w:rPr>
      </w:pPr>
      <w:r>
        <w:rPr>
          <w:rFonts w:hint="eastAsia" w:ascii="仿宋" w:hAnsi="仿宋" w:eastAsia="仿宋" w:cs="仿宋"/>
          <w:color w:val="auto"/>
          <w:szCs w:val="21"/>
          <w:highlight w:val="none"/>
        </w:rPr>
        <w:t>联 系 人：</w:t>
      </w:r>
      <w:r>
        <w:rPr>
          <w:rFonts w:hint="eastAsia" w:ascii="仿宋" w:hAnsi="仿宋" w:eastAsia="仿宋" w:cs="仿宋"/>
          <w:color w:val="auto"/>
          <w:szCs w:val="21"/>
          <w:highlight w:val="none"/>
          <w:u w:val="single"/>
          <w:lang w:val="en-US" w:eastAsia="zh-CN"/>
        </w:rPr>
        <w:t>黄老师</w:t>
      </w:r>
      <w:r>
        <w:rPr>
          <w:rFonts w:hint="eastAsia" w:ascii="仿宋" w:hAnsi="仿宋" w:eastAsia="仿宋" w:cs="仿宋"/>
          <w:color w:val="auto"/>
          <w:szCs w:val="21"/>
          <w:highlight w:val="none"/>
          <w:u w:val="single"/>
          <w:lang w:eastAsia="zh-CN"/>
        </w:rPr>
        <w:t>；0813-8212538</w:t>
      </w:r>
    </w:p>
    <w:p w14:paraId="357E45F9">
      <w:pPr>
        <w:pStyle w:val="54"/>
        <w:numPr>
          <w:ilvl w:val="1"/>
          <w:numId w:val="1"/>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采购代理机构联系方式</w:t>
      </w:r>
    </w:p>
    <w:p w14:paraId="224791A7">
      <w:pPr>
        <w:pStyle w:val="54"/>
        <w:spacing w:line="400" w:lineRule="exact"/>
        <w:ind w:left="567" w:firstLine="0"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    称：</w:t>
      </w:r>
      <w:r>
        <w:rPr>
          <w:rFonts w:hint="eastAsia" w:ascii="仿宋" w:hAnsi="仿宋" w:eastAsia="仿宋" w:cs="仿宋"/>
          <w:color w:val="auto"/>
          <w:szCs w:val="21"/>
          <w:highlight w:val="none"/>
          <w:u w:val="single"/>
          <w:lang w:val="en-US" w:eastAsia="zh-CN"/>
        </w:rPr>
        <w:t>四川鑫益工程项目管理有限公司</w:t>
      </w:r>
    </w:p>
    <w:p w14:paraId="38697391">
      <w:pPr>
        <w:pStyle w:val="54"/>
        <w:spacing w:line="400" w:lineRule="exact"/>
        <w:ind w:left="567" w:firstLine="0"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    址：</w:t>
      </w:r>
      <w:r>
        <w:rPr>
          <w:rFonts w:hint="eastAsia" w:ascii="仿宋" w:hAnsi="仿宋" w:eastAsia="仿宋" w:cs="仿宋"/>
          <w:color w:val="auto"/>
          <w:szCs w:val="21"/>
          <w:highlight w:val="none"/>
          <w:u w:val="single"/>
          <w:lang w:val="en-US" w:eastAsia="zh-CN"/>
        </w:rPr>
        <w:t>四川省自贡市自流井区华园街春华38栋201号（梨园市场二楼）</w:t>
      </w:r>
    </w:p>
    <w:p w14:paraId="694B5A91">
      <w:pPr>
        <w:pStyle w:val="54"/>
        <w:spacing w:line="400" w:lineRule="exact"/>
        <w:ind w:left="567" w:firstLine="0" w:firstLineChars="0"/>
        <w:rPr>
          <w:rFonts w:hint="eastAsia" w:ascii="仿宋" w:hAnsi="仿宋" w:eastAsia="仿宋" w:cs="仿宋"/>
          <w:color w:val="auto"/>
          <w:szCs w:val="21"/>
          <w:highlight w:val="none"/>
          <w:u w:val="single"/>
          <w:lang w:val="en-US" w:eastAsia="zh-CN"/>
        </w:rPr>
      </w:pPr>
      <w:r>
        <w:rPr>
          <w:rFonts w:hint="eastAsia" w:ascii="仿宋" w:hAnsi="仿宋" w:eastAsia="仿宋" w:cs="仿宋"/>
          <w:color w:val="auto"/>
          <w:szCs w:val="21"/>
          <w:highlight w:val="none"/>
        </w:rPr>
        <w:t>联 系 人：</w:t>
      </w:r>
      <w:r>
        <w:rPr>
          <w:rFonts w:hint="eastAsia" w:ascii="仿宋" w:hAnsi="仿宋" w:eastAsia="仿宋" w:cs="仿宋"/>
          <w:color w:val="auto"/>
          <w:szCs w:val="21"/>
          <w:highlight w:val="none"/>
          <w:u w:val="single"/>
          <w:lang w:eastAsia="zh-CN"/>
        </w:rPr>
        <w:t>邱先生</w:t>
      </w:r>
      <w:r>
        <w:rPr>
          <w:rFonts w:hint="eastAsia" w:ascii="仿宋" w:hAnsi="仿宋" w:eastAsia="仿宋" w:cs="仿宋"/>
          <w:color w:val="auto"/>
          <w:szCs w:val="21"/>
          <w:highlight w:val="none"/>
          <w:u w:val="single"/>
        </w:rPr>
        <w:t>；</w:t>
      </w:r>
      <w:bookmarkStart w:id="4" w:name="_Toc498592999"/>
      <w:bookmarkStart w:id="5" w:name="_Toc509380474"/>
      <w:bookmarkStart w:id="6" w:name="_Toc498593024"/>
      <w:bookmarkStart w:id="7" w:name="_Toc21349"/>
      <w:r>
        <w:rPr>
          <w:rFonts w:hint="eastAsia" w:ascii="仿宋" w:hAnsi="仿宋" w:eastAsia="仿宋" w:cs="仿宋"/>
          <w:color w:val="auto"/>
          <w:szCs w:val="21"/>
          <w:highlight w:val="none"/>
          <w:u w:val="single"/>
          <w:lang w:eastAsia="zh-CN"/>
        </w:rPr>
        <w:t>18180926606</w:t>
      </w:r>
    </w:p>
    <w:p w14:paraId="365A54A9">
      <w:pPr>
        <w:rPr>
          <w:rFonts w:hint="eastAsia" w:ascii="仿宋" w:hAnsi="仿宋" w:eastAsia="仿宋" w:cs="仿宋"/>
          <w:color w:val="auto"/>
          <w:szCs w:val="21"/>
          <w:highlight w:val="none"/>
          <w:u w:val="single"/>
          <w:lang w:val="en-US" w:eastAsia="zh-CN"/>
        </w:rPr>
      </w:pPr>
      <w:r>
        <w:rPr>
          <w:rFonts w:hint="eastAsia" w:ascii="仿宋" w:hAnsi="仿宋" w:eastAsia="仿宋" w:cs="仿宋"/>
          <w:color w:val="auto"/>
          <w:szCs w:val="21"/>
          <w:highlight w:val="none"/>
          <w:u w:val="single"/>
          <w:lang w:val="en-US" w:eastAsia="zh-CN"/>
        </w:rPr>
        <w:br w:type="page"/>
      </w:r>
    </w:p>
    <w:p w14:paraId="2C8EF39C">
      <w:pPr>
        <w:pStyle w:val="54"/>
        <w:spacing w:line="400" w:lineRule="exact"/>
        <w:ind w:left="0" w:leftChars="0" w:firstLine="0" w:firstLineChars="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第二章  谈判须知</w:t>
      </w:r>
      <w:bookmarkEnd w:id="4"/>
      <w:bookmarkEnd w:id="5"/>
      <w:bookmarkEnd w:id="6"/>
      <w:bookmarkEnd w:id="7"/>
    </w:p>
    <w:p w14:paraId="5C87E50E">
      <w:pPr>
        <w:pStyle w:val="4"/>
        <w:numPr>
          <w:ilvl w:val="0"/>
          <w:numId w:val="0"/>
        </w:numPr>
        <w:ind w:left="420" w:leftChars="0" w:hanging="420" w:firstLineChars="0"/>
        <w:jc w:val="center"/>
        <w:rPr>
          <w:rFonts w:hint="eastAsia" w:ascii="仿宋" w:hAnsi="仿宋" w:eastAsia="仿宋" w:cs="仿宋"/>
          <w:b w:val="0"/>
          <w:color w:val="auto"/>
          <w:sz w:val="28"/>
          <w:szCs w:val="28"/>
          <w:highlight w:val="none"/>
        </w:rPr>
      </w:pPr>
      <w:r>
        <w:rPr>
          <w:rFonts w:hint="eastAsia" w:ascii="仿宋" w:hAnsi="仿宋" w:eastAsia="仿宋" w:cs="仿宋"/>
          <w:b w:val="0"/>
          <w:bCs/>
          <w:color w:val="auto"/>
          <w:kern w:val="2"/>
          <w:sz w:val="28"/>
          <w:szCs w:val="28"/>
          <w:highlight w:val="none"/>
          <w:lang w:val="en-US" w:eastAsia="zh-CN" w:bidi="ar-SA"/>
        </w:rPr>
        <w:t>(一)</w:t>
      </w:r>
      <w:r>
        <w:rPr>
          <w:rFonts w:hint="eastAsia" w:ascii="仿宋" w:hAnsi="仿宋" w:eastAsia="仿宋" w:cs="仿宋"/>
          <w:b w:val="0"/>
          <w:color w:val="auto"/>
          <w:sz w:val="28"/>
          <w:szCs w:val="28"/>
          <w:highlight w:val="none"/>
        </w:rPr>
        <w:t>须知前附表</w:t>
      </w:r>
    </w:p>
    <w:tbl>
      <w:tblPr>
        <w:tblStyle w:val="29"/>
        <w:tblW w:w="48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1757"/>
        <w:gridCol w:w="7275"/>
      </w:tblGrid>
      <w:tr w14:paraId="1D824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61" w:type="pct"/>
            <w:vAlign w:val="center"/>
          </w:tcPr>
          <w:p w14:paraId="0892D46F">
            <w:pPr>
              <w:widowControl/>
              <w:spacing w:line="400" w:lineRule="exact"/>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902" w:type="pct"/>
            <w:vAlign w:val="center"/>
          </w:tcPr>
          <w:p w14:paraId="5A5C4F41">
            <w:pPr>
              <w:widowControl/>
              <w:spacing w:line="400" w:lineRule="exact"/>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须知事项</w:t>
            </w:r>
          </w:p>
        </w:tc>
        <w:tc>
          <w:tcPr>
            <w:tcW w:w="3736" w:type="pct"/>
            <w:vAlign w:val="center"/>
          </w:tcPr>
          <w:p w14:paraId="13A6D0B1">
            <w:pPr>
              <w:widowControl/>
              <w:spacing w:line="400" w:lineRule="exact"/>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说明和要求</w:t>
            </w:r>
          </w:p>
        </w:tc>
      </w:tr>
      <w:tr w14:paraId="20D9B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Align w:val="center"/>
          </w:tcPr>
          <w:p w14:paraId="56457D2C">
            <w:pPr>
              <w:pStyle w:val="54"/>
              <w:widowControl/>
              <w:numPr>
                <w:ilvl w:val="0"/>
                <w:numId w:val="0"/>
              </w:numPr>
              <w:spacing w:line="400" w:lineRule="exact"/>
              <w:ind w:left="420" w:leftChars="0" w:hanging="420" w:firstLineChars="0"/>
              <w:jc w:val="center"/>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1.</w:t>
            </w:r>
          </w:p>
        </w:tc>
        <w:tc>
          <w:tcPr>
            <w:tcW w:w="902" w:type="pct"/>
            <w:vAlign w:val="center"/>
          </w:tcPr>
          <w:p w14:paraId="27D91180">
            <w:pPr>
              <w:widowControl/>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采购预算</w:t>
            </w:r>
          </w:p>
          <w:p w14:paraId="64001CE7">
            <w:pPr>
              <w:widowControl/>
              <w:spacing w:line="400" w:lineRule="exact"/>
              <w:jc w:val="center"/>
              <w:rPr>
                <w:rFonts w:hint="eastAsia" w:ascii="仿宋" w:hAnsi="仿宋" w:eastAsia="仿宋" w:cs="仿宋"/>
                <w:b/>
                <w:color w:val="auto"/>
                <w:highlight w:val="none"/>
              </w:rPr>
            </w:pPr>
            <w:r>
              <w:rPr>
                <w:rFonts w:hint="eastAsia" w:ascii="仿宋" w:hAnsi="仿宋" w:eastAsia="仿宋" w:cs="仿宋"/>
                <w:b/>
                <w:color w:val="auto"/>
                <w:szCs w:val="21"/>
                <w:highlight w:val="none"/>
              </w:rPr>
              <w:t>(实质性要求)</w:t>
            </w:r>
          </w:p>
        </w:tc>
        <w:tc>
          <w:tcPr>
            <w:tcW w:w="3736" w:type="pct"/>
            <w:vAlign w:val="center"/>
          </w:tcPr>
          <w:p w14:paraId="6BF269BA">
            <w:pPr>
              <w:pStyle w:val="54"/>
              <w:widowControl/>
              <w:numPr>
                <w:ilvl w:val="0"/>
                <w:numId w:val="4"/>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预算金额：见第一章第2.</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条。</w:t>
            </w:r>
          </w:p>
          <w:p w14:paraId="3DA0E63C">
            <w:pPr>
              <w:pStyle w:val="54"/>
              <w:widowControl/>
              <w:numPr>
                <w:ilvl w:val="0"/>
                <w:numId w:val="4"/>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最后报价超过该预算金额的，响应无效。</w:t>
            </w:r>
          </w:p>
        </w:tc>
      </w:tr>
      <w:tr w14:paraId="4FD71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Align w:val="center"/>
          </w:tcPr>
          <w:p w14:paraId="2B752ACD">
            <w:pPr>
              <w:pStyle w:val="54"/>
              <w:widowControl/>
              <w:numPr>
                <w:ilvl w:val="0"/>
                <w:numId w:val="0"/>
              </w:numPr>
              <w:spacing w:line="400" w:lineRule="exact"/>
              <w:ind w:left="420" w:leftChars="0" w:hanging="420" w:firstLineChars="0"/>
              <w:jc w:val="center"/>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2.</w:t>
            </w:r>
          </w:p>
        </w:tc>
        <w:tc>
          <w:tcPr>
            <w:tcW w:w="902" w:type="pct"/>
            <w:vAlign w:val="center"/>
          </w:tcPr>
          <w:p w14:paraId="0264422A">
            <w:pPr>
              <w:widowControl/>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最高限价</w:t>
            </w:r>
          </w:p>
          <w:p w14:paraId="7F6ABFA7">
            <w:pPr>
              <w:widowControl/>
              <w:spacing w:line="400" w:lineRule="exact"/>
              <w:jc w:val="center"/>
              <w:rPr>
                <w:rFonts w:hint="eastAsia" w:ascii="仿宋" w:hAnsi="仿宋" w:eastAsia="仿宋" w:cs="仿宋"/>
                <w:color w:val="auto"/>
                <w:highlight w:val="none"/>
              </w:rPr>
            </w:pPr>
            <w:r>
              <w:rPr>
                <w:rFonts w:hint="eastAsia" w:ascii="仿宋" w:hAnsi="仿宋" w:eastAsia="仿宋" w:cs="仿宋"/>
                <w:b/>
                <w:color w:val="auto"/>
                <w:szCs w:val="21"/>
                <w:highlight w:val="none"/>
              </w:rPr>
              <w:t>(实质性要求)</w:t>
            </w:r>
          </w:p>
        </w:tc>
        <w:tc>
          <w:tcPr>
            <w:tcW w:w="3736" w:type="pct"/>
            <w:vAlign w:val="center"/>
          </w:tcPr>
          <w:p w14:paraId="0283F6B8">
            <w:pPr>
              <w:pStyle w:val="54"/>
              <w:widowControl/>
              <w:numPr>
                <w:ilvl w:val="0"/>
                <w:numId w:val="5"/>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最高限价：见第一章第2.</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条。</w:t>
            </w:r>
          </w:p>
          <w:p w14:paraId="546E12B7">
            <w:pPr>
              <w:pStyle w:val="54"/>
              <w:widowControl/>
              <w:numPr>
                <w:ilvl w:val="0"/>
                <w:numId w:val="5"/>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最后报价超过该最高限价的，响应无效。</w:t>
            </w:r>
          </w:p>
          <w:p w14:paraId="5C3A60ED">
            <w:pPr>
              <w:pStyle w:val="54"/>
              <w:widowControl/>
              <w:numPr>
                <w:ilvl w:val="0"/>
                <w:numId w:val="5"/>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项目分包采购的，在采购金额未超过采购项目总预算金额且不会导致供应商权益受损的前提下，采购人可以在谈判过程中临时调剂各包采购限价（预算金额不得调整；财政预算明确到各包的不得调整），临时调剂的内容，在评审报告中记录。</w:t>
            </w:r>
          </w:p>
        </w:tc>
      </w:tr>
      <w:tr w14:paraId="12E76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Align w:val="center"/>
          </w:tcPr>
          <w:p w14:paraId="5D838151">
            <w:pPr>
              <w:pStyle w:val="54"/>
              <w:widowControl/>
              <w:numPr>
                <w:ilvl w:val="0"/>
                <w:numId w:val="0"/>
              </w:numPr>
              <w:spacing w:line="400" w:lineRule="exact"/>
              <w:ind w:left="420" w:leftChars="0" w:hanging="420" w:firstLineChars="0"/>
              <w:jc w:val="center"/>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3.</w:t>
            </w:r>
          </w:p>
        </w:tc>
        <w:tc>
          <w:tcPr>
            <w:tcW w:w="902" w:type="pct"/>
            <w:vAlign w:val="center"/>
          </w:tcPr>
          <w:p w14:paraId="104131AA">
            <w:pPr>
              <w:widowControl/>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不正当竞争预防措施</w:t>
            </w:r>
          </w:p>
          <w:p w14:paraId="0DC9E46D">
            <w:pPr>
              <w:widowControl/>
              <w:spacing w:line="400" w:lineRule="exact"/>
              <w:jc w:val="center"/>
              <w:rPr>
                <w:rFonts w:hint="eastAsia" w:ascii="仿宋" w:hAnsi="仿宋" w:eastAsia="仿宋" w:cs="仿宋"/>
                <w:b/>
                <w:color w:val="auto"/>
                <w:szCs w:val="21"/>
                <w:highlight w:val="none"/>
              </w:rPr>
            </w:pPr>
            <w:r>
              <w:rPr>
                <w:rFonts w:hint="eastAsia" w:ascii="仿宋" w:hAnsi="仿宋" w:eastAsia="仿宋" w:cs="仿宋"/>
                <w:b/>
                <w:bCs/>
                <w:color w:val="auto"/>
                <w:szCs w:val="21"/>
                <w:highlight w:val="none"/>
              </w:rPr>
              <w:t>(实质性要求)</w:t>
            </w:r>
          </w:p>
        </w:tc>
        <w:tc>
          <w:tcPr>
            <w:tcW w:w="3736" w:type="pct"/>
            <w:vAlign w:val="center"/>
          </w:tcPr>
          <w:p w14:paraId="4572E60F">
            <w:pPr>
              <w:pStyle w:val="54"/>
              <w:widowControl/>
              <w:numPr>
                <w:ilvl w:val="0"/>
                <w:numId w:val="6"/>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谈判</w:t>
            </w:r>
            <w:r>
              <w:rPr>
                <w:rFonts w:hint="eastAsia" w:ascii="仿宋" w:hAnsi="仿宋" w:eastAsia="仿宋" w:cs="仿宋"/>
                <w:color w:val="auto"/>
                <w:szCs w:val="21"/>
                <w:highlight w:val="none"/>
              </w:rPr>
              <w:t>小组认为供应商的报价明显低于其他实质性响应的供应商报价，有可能影响</w:t>
            </w:r>
            <w:r>
              <w:rPr>
                <w:rFonts w:hint="eastAsia" w:ascii="仿宋" w:hAnsi="仿宋" w:eastAsia="仿宋" w:cs="仿宋"/>
                <w:color w:val="auto"/>
                <w:szCs w:val="21"/>
                <w:highlight w:val="none"/>
                <w:lang w:val="en-US" w:eastAsia="zh-CN"/>
              </w:rPr>
              <w:t>服务</w:t>
            </w:r>
            <w:r>
              <w:rPr>
                <w:rFonts w:hint="eastAsia" w:ascii="仿宋" w:hAnsi="仿宋" w:eastAsia="仿宋" w:cs="仿宋"/>
                <w:color w:val="auto"/>
                <w:szCs w:val="21"/>
                <w:highlight w:val="none"/>
              </w:rPr>
              <w:t>质量或者不能诚信履约的，应当要求其在合理的时间内（不少于30分钟）提供书面说明，必要时提交相关证明材料；供应商不能证明其报价合理性的，</w:t>
            </w:r>
            <w:r>
              <w:rPr>
                <w:rFonts w:hint="eastAsia" w:ascii="仿宋" w:hAnsi="仿宋" w:eastAsia="仿宋" w:cs="仿宋"/>
                <w:color w:val="auto"/>
                <w:szCs w:val="21"/>
                <w:highlight w:val="none"/>
                <w:lang w:val="en-US" w:eastAsia="zh-CN"/>
              </w:rPr>
              <w:t>谈判</w:t>
            </w:r>
            <w:r>
              <w:rPr>
                <w:rFonts w:hint="eastAsia" w:ascii="仿宋" w:hAnsi="仿宋" w:eastAsia="仿宋" w:cs="仿宋"/>
                <w:color w:val="auto"/>
                <w:szCs w:val="21"/>
                <w:highlight w:val="none"/>
              </w:rPr>
              <w:t>小组应当将其作为无效响应处理。</w:t>
            </w:r>
          </w:p>
          <w:p w14:paraId="60EA39A6">
            <w:pPr>
              <w:pStyle w:val="54"/>
              <w:widowControl/>
              <w:numPr>
                <w:ilvl w:val="0"/>
                <w:numId w:val="6"/>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供应商应当在</w:t>
            </w:r>
            <w:r>
              <w:rPr>
                <w:rFonts w:hint="eastAsia" w:ascii="仿宋" w:hAnsi="仿宋" w:eastAsia="仿宋" w:cs="仿宋"/>
                <w:color w:val="auto"/>
                <w:szCs w:val="21"/>
                <w:highlight w:val="none"/>
                <w:lang w:val="en-US" w:eastAsia="zh-CN"/>
              </w:rPr>
              <w:t>谈判</w:t>
            </w:r>
            <w:r>
              <w:rPr>
                <w:rFonts w:hint="eastAsia" w:ascii="仿宋" w:hAnsi="仿宋" w:eastAsia="仿宋" w:cs="仿宋"/>
                <w:color w:val="auto"/>
                <w:szCs w:val="21"/>
                <w:highlight w:val="none"/>
              </w:rPr>
              <w:t>小组要求的时间内提交书面说明，否则响应无效。</w:t>
            </w:r>
          </w:p>
        </w:tc>
      </w:tr>
      <w:tr w14:paraId="2F698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61" w:type="pct"/>
            <w:vAlign w:val="center"/>
          </w:tcPr>
          <w:p w14:paraId="0E3DF2E7">
            <w:pPr>
              <w:pStyle w:val="54"/>
              <w:widowControl/>
              <w:numPr>
                <w:ilvl w:val="0"/>
                <w:numId w:val="0"/>
              </w:numPr>
              <w:spacing w:line="400" w:lineRule="exact"/>
              <w:ind w:left="420" w:leftChars="0" w:hanging="420" w:firstLineChars="0"/>
              <w:jc w:val="center"/>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4.</w:t>
            </w:r>
          </w:p>
        </w:tc>
        <w:tc>
          <w:tcPr>
            <w:tcW w:w="902" w:type="pct"/>
            <w:vAlign w:val="center"/>
          </w:tcPr>
          <w:p w14:paraId="7991446B">
            <w:pPr>
              <w:widowControl/>
              <w:spacing w:line="400" w:lineRule="exac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本国</w:t>
            </w:r>
            <w:r>
              <w:rPr>
                <w:rFonts w:hint="eastAsia" w:ascii="仿宋" w:hAnsi="仿宋" w:eastAsia="仿宋" w:cs="仿宋"/>
                <w:color w:val="auto"/>
                <w:szCs w:val="21"/>
                <w:highlight w:val="none"/>
                <w:lang w:val="en-US" w:eastAsia="zh-CN"/>
              </w:rPr>
              <w:t>服务</w:t>
            </w:r>
          </w:p>
          <w:p w14:paraId="532B9690">
            <w:pPr>
              <w:widowControl/>
              <w:spacing w:line="400" w:lineRule="exact"/>
              <w:jc w:val="center"/>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(实质性要求)</w:t>
            </w:r>
          </w:p>
        </w:tc>
        <w:tc>
          <w:tcPr>
            <w:tcW w:w="3736" w:type="pct"/>
            <w:vAlign w:val="center"/>
          </w:tcPr>
          <w:p w14:paraId="7B5C9891">
            <w:pPr>
              <w:pStyle w:val="54"/>
              <w:widowControl/>
              <w:spacing w:line="400" w:lineRule="exact"/>
              <w:ind w:left="0" w:leftChars="0" w:firstLine="0"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本项目采购本国</w:t>
            </w:r>
            <w:r>
              <w:rPr>
                <w:rFonts w:hint="eastAsia" w:ascii="仿宋" w:hAnsi="仿宋" w:eastAsia="仿宋" w:cs="仿宋"/>
                <w:color w:val="auto"/>
                <w:szCs w:val="21"/>
                <w:highlight w:val="none"/>
                <w:lang w:val="en-US" w:eastAsia="zh-CN"/>
              </w:rPr>
              <w:t>服务</w:t>
            </w:r>
            <w:r>
              <w:rPr>
                <w:rFonts w:hint="eastAsia" w:ascii="仿宋" w:hAnsi="仿宋" w:eastAsia="仿宋" w:cs="仿宋"/>
                <w:color w:val="auto"/>
                <w:szCs w:val="21"/>
                <w:highlight w:val="none"/>
              </w:rPr>
              <w:t>。</w:t>
            </w:r>
          </w:p>
        </w:tc>
      </w:tr>
      <w:tr w14:paraId="23621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361" w:type="pct"/>
            <w:vAlign w:val="center"/>
          </w:tcPr>
          <w:p w14:paraId="5111D0FF">
            <w:pPr>
              <w:pStyle w:val="54"/>
              <w:widowControl/>
              <w:numPr>
                <w:ilvl w:val="0"/>
                <w:numId w:val="0"/>
              </w:numPr>
              <w:spacing w:line="400" w:lineRule="exact"/>
              <w:ind w:left="420" w:leftChars="0" w:hanging="420" w:firstLineChars="0"/>
              <w:jc w:val="center"/>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5.</w:t>
            </w:r>
          </w:p>
        </w:tc>
        <w:tc>
          <w:tcPr>
            <w:tcW w:w="902" w:type="pct"/>
            <w:vAlign w:val="center"/>
          </w:tcPr>
          <w:p w14:paraId="65F5BAB1">
            <w:pPr>
              <w:widowControl/>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谈判</w:t>
            </w:r>
            <w:r>
              <w:rPr>
                <w:rFonts w:hint="eastAsia" w:ascii="仿宋" w:hAnsi="仿宋" w:eastAsia="仿宋" w:cs="仿宋"/>
                <w:color w:val="auto"/>
                <w:szCs w:val="21"/>
                <w:highlight w:val="none"/>
              </w:rPr>
              <w:t>保证金</w:t>
            </w:r>
          </w:p>
        </w:tc>
        <w:tc>
          <w:tcPr>
            <w:tcW w:w="3736" w:type="pct"/>
            <w:vAlign w:val="center"/>
          </w:tcPr>
          <w:p w14:paraId="60E647CF">
            <w:pPr>
              <w:spacing w:line="400" w:lineRule="exact"/>
              <w:ind w:left="0" w:leftChars="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本项目不收取</w:t>
            </w:r>
            <w:r>
              <w:rPr>
                <w:rFonts w:hint="eastAsia" w:ascii="仿宋" w:hAnsi="仿宋" w:eastAsia="仿宋" w:cs="仿宋"/>
                <w:color w:val="auto"/>
                <w:szCs w:val="21"/>
                <w:highlight w:val="none"/>
                <w:lang w:eastAsia="zh-CN"/>
              </w:rPr>
              <w:t>谈判</w:t>
            </w:r>
            <w:r>
              <w:rPr>
                <w:rFonts w:hint="eastAsia" w:ascii="仿宋" w:hAnsi="仿宋" w:eastAsia="仿宋" w:cs="仿宋"/>
                <w:color w:val="auto"/>
                <w:highlight w:val="none"/>
              </w:rPr>
              <w:t>保证金。</w:t>
            </w:r>
          </w:p>
        </w:tc>
      </w:tr>
      <w:tr w14:paraId="035E9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Align w:val="center"/>
          </w:tcPr>
          <w:p w14:paraId="2AB3EE9C">
            <w:pPr>
              <w:pStyle w:val="54"/>
              <w:widowControl/>
              <w:numPr>
                <w:ilvl w:val="0"/>
                <w:numId w:val="0"/>
              </w:numPr>
              <w:spacing w:line="400" w:lineRule="exact"/>
              <w:ind w:left="420" w:leftChars="0" w:hanging="420" w:firstLineChars="0"/>
              <w:jc w:val="center"/>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6.</w:t>
            </w:r>
          </w:p>
        </w:tc>
        <w:tc>
          <w:tcPr>
            <w:tcW w:w="902" w:type="pct"/>
            <w:vAlign w:val="center"/>
          </w:tcPr>
          <w:p w14:paraId="4AE185A1">
            <w:pPr>
              <w:widowControl/>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履约保证金</w:t>
            </w:r>
          </w:p>
        </w:tc>
        <w:tc>
          <w:tcPr>
            <w:tcW w:w="3736" w:type="pct"/>
            <w:vAlign w:val="center"/>
          </w:tcPr>
          <w:p w14:paraId="54034771">
            <w:pPr>
              <w:widowControl/>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sym w:font="Wingdings" w:char="F0FE"/>
            </w: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本项目不收取履约保证金。</w:t>
            </w:r>
          </w:p>
          <w:p w14:paraId="7F8A1229">
            <w:pPr>
              <w:widowControl/>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sym w:font="Wingdings" w:char="F0A8"/>
            </w: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本项目履约保证金为合同金额的XX%</w:t>
            </w:r>
            <w:r>
              <w:rPr>
                <w:rFonts w:hint="eastAsia" w:ascii="仿宋" w:hAnsi="仿宋" w:eastAsia="仿宋" w:cs="仿宋"/>
                <w:b/>
                <w:color w:val="auto"/>
                <w:szCs w:val="21"/>
                <w:highlight w:val="none"/>
              </w:rPr>
              <w:t>(实质性要求)</w:t>
            </w:r>
            <w:r>
              <w:rPr>
                <w:rFonts w:hint="eastAsia" w:ascii="仿宋" w:hAnsi="仿宋" w:eastAsia="仿宋" w:cs="仿宋"/>
                <w:color w:val="auto"/>
                <w:szCs w:val="21"/>
                <w:highlight w:val="none"/>
              </w:rPr>
              <w:t>。具体要求如下：</w:t>
            </w:r>
          </w:p>
          <w:p w14:paraId="08F7D845">
            <w:pPr>
              <w:widowControl/>
              <w:numPr>
                <w:ilvl w:val="0"/>
                <w:numId w:val="7"/>
              </w:num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成交供应商应在成交通知书发放后，采购合同签订前，向采购人交纳本项目合同金额的XX%（不超过10%）数额的履约保证金。</w:t>
            </w:r>
          </w:p>
          <w:p w14:paraId="08C515FE">
            <w:pPr>
              <w:widowControl/>
              <w:numPr>
                <w:ilvl w:val="0"/>
                <w:numId w:val="7"/>
              </w:num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交款方式：履约保证金可以以支票、汇票、本票或者金融机构、担保机构出具的保函等非现金形式提交（包括网银转账，电汇等方式）。</w:t>
            </w:r>
          </w:p>
          <w:p w14:paraId="47C2D978">
            <w:pPr>
              <w:widowControl/>
              <w:numPr>
                <w:ilvl w:val="0"/>
                <w:numId w:val="7"/>
              </w:num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收款单位：XXX。（履约保证金由采购人收取，采购代理机构不得代收）</w:t>
            </w:r>
          </w:p>
          <w:p w14:paraId="486C7298">
            <w:pPr>
              <w:widowControl/>
              <w:numPr>
                <w:ilvl w:val="0"/>
                <w:numId w:val="7"/>
              </w:num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开户行：XXX。</w:t>
            </w:r>
          </w:p>
          <w:p w14:paraId="0EEE7C7D">
            <w:pPr>
              <w:widowControl/>
              <w:numPr>
                <w:ilvl w:val="0"/>
                <w:numId w:val="7"/>
              </w:num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银行账号：XXX。</w:t>
            </w:r>
          </w:p>
          <w:p w14:paraId="78CE26FD">
            <w:pPr>
              <w:widowControl/>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注：出具保函的主体应当是金融机构、保险机构、担保机构等依法成立且具有相关资质和偿付能力的机构，否则将取消成交供应商的成交资格，采购人将重新确定成交供应商，并依法追究法律责任。</w:t>
            </w:r>
          </w:p>
          <w:p w14:paraId="57275815">
            <w:pPr>
              <w:widowControl/>
              <w:numPr>
                <w:ilvl w:val="0"/>
                <w:numId w:val="7"/>
              </w:num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履约保证金退还方式：非现金形式无息退还。</w:t>
            </w:r>
          </w:p>
          <w:p w14:paraId="237F75D5">
            <w:pPr>
              <w:widowControl/>
              <w:numPr>
                <w:ilvl w:val="0"/>
                <w:numId w:val="7"/>
              </w:num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履约保证金退还时间：合同约定的质保期满后7个工作日内。</w:t>
            </w:r>
          </w:p>
          <w:p w14:paraId="72EADCEA">
            <w:pPr>
              <w:widowControl/>
              <w:numPr>
                <w:ilvl w:val="0"/>
                <w:numId w:val="7"/>
              </w:num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履约保证金不予退还情形：</w:t>
            </w:r>
            <w:r>
              <w:rPr>
                <w:rFonts w:hint="eastAsia" w:ascii="仿宋" w:hAnsi="仿宋" w:eastAsia="仿宋" w:cs="仿宋"/>
                <w:color w:val="auto"/>
                <w:szCs w:val="21"/>
                <w:highlight w:val="none"/>
                <w:lang w:eastAsia="zh-CN"/>
              </w:rPr>
              <w:t>成交供应商</w:t>
            </w:r>
            <w:r>
              <w:rPr>
                <w:rFonts w:hint="eastAsia" w:ascii="仿宋" w:hAnsi="仿宋" w:eastAsia="仿宋" w:cs="仿宋"/>
                <w:color w:val="auto"/>
                <w:szCs w:val="21"/>
                <w:highlight w:val="none"/>
              </w:rPr>
              <w:t>出现合同约定的违约情形。</w:t>
            </w:r>
          </w:p>
          <w:p w14:paraId="63502975">
            <w:pPr>
              <w:widowControl/>
              <w:numPr>
                <w:ilvl w:val="0"/>
                <w:numId w:val="7"/>
              </w:num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履约保证金不予退还的，将按照有关规定上缴国库。逾期退还履约保证金的，将依法承担法律责任，并赔偿供应商损失。</w:t>
            </w:r>
          </w:p>
        </w:tc>
      </w:tr>
      <w:tr w14:paraId="6756E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Align w:val="center"/>
          </w:tcPr>
          <w:p w14:paraId="168562BE">
            <w:pPr>
              <w:pStyle w:val="54"/>
              <w:widowControl/>
              <w:numPr>
                <w:ilvl w:val="0"/>
                <w:numId w:val="0"/>
              </w:numPr>
              <w:spacing w:line="400" w:lineRule="exact"/>
              <w:ind w:left="420" w:leftChars="0" w:hanging="420" w:firstLineChars="0"/>
              <w:jc w:val="center"/>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7.</w:t>
            </w:r>
          </w:p>
        </w:tc>
        <w:tc>
          <w:tcPr>
            <w:tcW w:w="1757" w:type="dxa"/>
            <w:vAlign w:val="center"/>
          </w:tcPr>
          <w:p w14:paraId="708BE097">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响应文件份数</w:t>
            </w:r>
          </w:p>
        </w:tc>
        <w:tc>
          <w:tcPr>
            <w:tcW w:w="7275" w:type="dxa"/>
            <w:vAlign w:val="center"/>
          </w:tcPr>
          <w:p w14:paraId="7775D435">
            <w:pPr>
              <w:spacing w:line="400" w:lineRule="exact"/>
              <w:ind w:left="0" w:leftChars="0" w:firstLine="0" w:firstLineChars="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资格性响应文件1式3份（其中正本1份、副本2份）；</w:t>
            </w:r>
          </w:p>
          <w:p w14:paraId="56DF0965">
            <w:pPr>
              <w:spacing w:line="400" w:lineRule="exact"/>
              <w:ind w:left="0" w:leftChars="0" w:firstLine="0" w:firstLineChars="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其他响应文件1式3份（其中正本1份、副本2份）；</w:t>
            </w:r>
          </w:p>
          <w:p w14:paraId="45C4A483">
            <w:pPr>
              <w:spacing w:line="400" w:lineRule="exact"/>
              <w:ind w:left="0" w:leftChars="0" w:firstLine="0" w:firstLineChars="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最终报价响应文件1份；</w:t>
            </w:r>
          </w:p>
          <w:p w14:paraId="0BF6C1F2">
            <w:pPr>
              <w:spacing w:line="400" w:lineRule="exact"/>
              <w:ind w:left="0" w:leftChars="0" w:firstLine="0" w:firstLineChars="0"/>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响应文件电子文档（U盘）1份。</w:t>
            </w:r>
          </w:p>
        </w:tc>
      </w:tr>
      <w:tr w14:paraId="0915D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Align w:val="center"/>
          </w:tcPr>
          <w:p w14:paraId="00A86E8C">
            <w:pPr>
              <w:pStyle w:val="54"/>
              <w:widowControl/>
              <w:numPr>
                <w:ilvl w:val="0"/>
                <w:numId w:val="0"/>
              </w:numPr>
              <w:spacing w:line="400" w:lineRule="exact"/>
              <w:ind w:left="420" w:leftChars="0" w:hanging="420" w:firstLineChars="0"/>
              <w:jc w:val="center"/>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8.</w:t>
            </w:r>
          </w:p>
        </w:tc>
        <w:tc>
          <w:tcPr>
            <w:tcW w:w="1757" w:type="dxa"/>
            <w:vAlign w:val="center"/>
          </w:tcPr>
          <w:p w14:paraId="4C40B837">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供应商</w:t>
            </w:r>
            <w:r>
              <w:rPr>
                <w:rFonts w:hint="eastAsia" w:ascii="仿宋" w:hAnsi="仿宋" w:eastAsia="仿宋" w:cs="仿宋"/>
                <w:color w:val="auto"/>
                <w:szCs w:val="21"/>
                <w:highlight w:val="none"/>
              </w:rPr>
              <w:t>咨询</w:t>
            </w:r>
          </w:p>
        </w:tc>
        <w:tc>
          <w:tcPr>
            <w:tcW w:w="7275" w:type="dxa"/>
            <w:vAlign w:val="center"/>
          </w:tcPr>
          <w:p w14:paraId="394EA773">
            <w:pPr>
              <w:spacing w:line="400" w:lineRule="exact"/>
              <w:ind w:left="0" w:leftChars="0" w:firstLine="0" w:firstLineChars="0"/>
              <w:rPr>
                <w:rFonts w:hint="eastAsia" w:ascii="仿宋" w:hAnsi="仿宋" w:eastAsia="仿宋" w:cs="仿宋"/>
                <w:color w:val="auto"/>
                <w:highlight w:val="none"/>
                <w:lang w:val="zh-CN" w:eastAsia="zh-CN"/>
              </w:rPr>
            </w:pPr>
            <w:r>
              <w:rPr>
                <w:rFonts w:hint="eastAsia" w:ascii="仿宋" w:hAnsi="仿宋" w:eastAsia="仿宋" w:cs="仿宋"/>
                <w:color w:val="auto"/>
                <w:highlight w:val="none"/>
                <w:lang w:val="en-US" w:eastAsia="zh-CN"/>
              </w:rPr>
              <w:t>联 系 人：邱先生</w:t>
            </w:r>
            <w:r>
              <w:rPr>
                <w:rFonts w:hint="eastAsia" w:ascii="仿宋" w:hAnsi="仿宋" w:eastAsia="仿宋" w:cs="仿宋"/>
                <w:color w:val="auto"/>
                <w:highlight w:val="none"/>
                <w:lang w:val="zh-CN" w:eastAsia="zh-CN"/>
              </w:rPr>
              <w:t>；</w:t>
            </w:r>
          </w:p>
          <w:p w14:paraId="181C15EF">
            <w:pPr>
              <w:spacing w:line="400" w:lineRule="exact"/>
              <w:ind w:left="0" w:leftChars="0" w:firstLine="0" w:firstLineChars="0"/>
              <w:rPr>
                <w:rFonts w:hint="eastAsia" w:ascii="仿宋" w:hAnsi="仿宋" w:eastAsia="仿宋" w:cs="仿宋"/>
                <w:color w:val="auto"/>
                <w:szCs w:val="21"/>
                <w:highlight w:val="none"/>
                <w:lang w:val="en-US" w:eastAsia="zh-CN"/>
              </w:rPr>
            </w:pPr>
            <w:r>
              <w:rPr>
                <w:rFonts w:hint="eastAsia" w:ascii="仿宋" w:hAnsi="仿宋" w:eastAsia="仿宋" w:cs="仿宋"/>
                <w:color w:val="auto"/>
                <w:highlight w:val="none"/>
                <w:lang w:val="en-US" w:eastAsia="zh-CN"/>
              </w:rPr>
              <w:t>联系电话：18180926606。</w:t>
            </w:r>
          </w:p>
        </w:tc>
      </w:tr>
      <w:tr w14:paraId="2B27F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Align w:val="center"/>
          </w:tcPr>
          <w:p w14:paraId="08A039F0">
            <w:pPr>
              <w:pStyle w:val="54"/>
              <w:widowControl/>
              <w:numPr>
                <w:ilvl w:val="0"/>
                <w:numId w:val="0"/>
              </w:numPr>
              <w:spacing w:line="400" w:lineRule="exact"/>
              <w:ind w:left="420" w:leftChars="0" w:hanging="420" w:firstLineChars="0"/>
              <w:jc w:val="center"/>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9.</w:t>
            </w:r>
          </w:p>
        </w:tc>
        <w:tc>
          <w:tcPr>
            <w:tcW w:w="902" w:type="pct"/>
            <w:vAlign w:val="center"/>
          </w:tcPr>
          <w:p w14:paraId="471A891A">
            <w:pPr>
              <w:widowControl/>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代理服务费</w:t>
            </w:r>
          </w:p>
        </w:tc>
        <w:tc>
          <w:tcPr>
            <w:tcW w:w="3736" w:type="pct"/>
            <w:vAlign w:val="center"/>
          </w:tcPr>
          <w:p w14:paraId="168930B8">
            <w:pPr>
              <w:spacing w:line="400" w:lineRule="exact"/>
              <w:ind w:left="0" w:leftChars="0" w:firstLine="0" w:firstLineChars="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本项目预算已包含采购代理服务费,根据委托代理协议约定，本项目采购代理服务费按照</w:t>
            </w:r>
            <w:r>
              <w:rPr>
                <w:rFonts w:hint="eastAsia" w:ascii="仿宋" w:hAnsi="仿宋" w:eastAsia="仿宋" w:cs="仿宋"/>
                <w:color w:val="auto"/>
                <w:highlight w:val="none"/>
                <w:lang w:val="en-US" w:eastAsia="zh-CN"/>
              </w:rPr>
              <w:t>3000.00</w:t>
            </w:r>
            <w:r>
              <w:rPr>
                <w:rFonts w:hint="eastAsia" w:ascii="仿宋" w:hAnsi="仿宋" w:eastAsia="仿宋" w:cs="仿宋"/>
                <w:color w:val="auto"/>
                <w:highlight w:val="none"/>
                <w:lang w:val="zh-CN"/>
              </w:rPr>
              <w:t>元（大写：叁仟元整）收取，由成交供应商</w:t>
            </w:r>
            <w:r>
              <w:rPr>
                <w:rFonts w:hint="eastAsia" w:ascii="仿宋" w:hAnsi="仿宋" w:eastAsia="仿宋" w:cs="仿宋"/>
                <w:color w:val="auto"/>
                <w:highlight w:val="none"/>
                <w:lang w:val="en-US" w:eastAsia="zh-CN"/>
              </w:rPr>
              <w:t>一次性</w:t>
            </w:r>
            <w:r>
              <w:rPr>
                <w:rFonts w:hint="eastAsia" w:ascii="仿宋" w:hAnsi="仿宋" w:eastAsia="仿宋" w:cs="仿宋"/>
                <w:color w:val="auto"/>
                <w:highlight w:val="none"/>
                <w:lang w:val="zh-CN"/>
              </w:rPr>
              <w:t>支付。</w:t>
            </w:r>
          </w:p>
          <w:p w14:paraId="5A991890">
            <w:pPr>
              <w:spacing w:line="400" w:lineRule="exact"/>
              <w:ind w:left="0" w:leftChars="0" w:firstLine="0" w:firstLineChars="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代理服务费收款账户：</w:t>
            </w:r>
          </w:p>
          <w:p w14:paraId="379BEAA2">
            <w:pPr>
              <w:spacing w:line="400" w:lineRule="exact"/>
              <w:ind w:left="0" w:leftChars="0" w:firstLine="0" w:firstLineChars="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收款单位：四川鑫益工程项目管理有限公司；</w:t>
            </w:r>
          </w:p>
          <w:p w14:paraId="741368F6">
            <w:pPr>
              <w:spacing w:line="400" w:lineRule="exact"/>
              <w:ind w:left="0" w:leftChars="0" w:firstLine="0" w:firstLineChars="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账    号：2000167882000014；</w:t>
            </w:r>
          </w:p>
          <w:p w14:paraId="551CCC50">
            <w:pPr>
              <w:spacing w:line="400" w:lineRule="exact"/>
              <w:ind w:left="0" w:leftChars="0" w:firstLine="0" w:firstLineChars="0"/>
              <w:rPr>
                <w:rFonts w:hint="eastAsia"/>
                <w:color w:val="auto"/>
                <w:highlight w:val="none"/>
              </w:rPr>
            </w:pPr>
            <w:r>
              <w:rPr>
                <w:rFonts w:hint="eastAsia" w:ascii="仿宋" w:hAnsi="仿宋" w:eastAsia="仿宋" w:cs="仿宋"/>
                <w:color w:val="auto"/>
                <w:highlight w:val="none"/>
                <w:lang w:val="en-US" w:eastAsia="zh-CN"/>
              </w:rPr>
              <w:t>开 户 行：四川天府银行股份有限公司自贡分行。</w:t>
            </w:r>
          </w:p>
        </w:tc>
      </w:tr>
      <w:tr w14:paraId="6A2B2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Align w:val="center"/>
          </w:tcPr>
          <w:p w14:paraId="2C0EFB8A">
            <w:pPr>
              <w:pStyle w:val="54"/>
              <w:widowControl/>
              <w:numPr>
                <w:ilvl w:val="0"/>
                <w:numId w:val="0"/>
              </w:numPr>
              <w:spacing w:line="400" w:lineRule="exact"/>
              <w:ind w:left="420" w:leftChars="0" w:hanging="420" w:firstLineChars="0"/>
              <w:jc w:val="center"/>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10.</w:t>
            </w:r>
          </w:p>
        </w:tc>
        <w:tc>
          <w:tcPr>
            <w:tcW w:w="1757" w:type="dxa"/>
            <w:vAlign w:val="center"/>
          </w:tcPr>
          <w:p w14:paraId="07EC0952">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成交通知书领取</w:t>
            </w:r>
          </w:p>
        </w:tc>
        <w:tc>
          <w:tcPr>
            <w:tcW w:w="7275" w:type="dxa"/>
            <w:vAlign w:val="center"/>
          </w:tcPr>
          <w:p w14:paraId="2E9E727B">
            <w:pPr>
              <w:spacing w:line="400" w:lineRule="exact"/>
              <w:ind w:left="0" w:leftChars="0" w:firstLine="0" w:firstLineChars="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请成交供应商凭有效身份证明证件到采购代理机构办理完代理服务费交费手续后领取成交通知书。</w:t>
            </w:r>
          </w:p>
          <w:p w14:paraId="1EC21F59">
            <w:pPr>
              <w:spacing w:line="400" w:lineRule="exact"/>
              <w:ind w:left="0" w:leftChars="0" w:firstLine="0" w:firstLineChars="0"/>
              <w:rPr>
                <w:rFonts w:hint="eastAsia" w:ascii="仿宋" w:hAnsi="仿宋" w:eastAsia="仿宋" w:cs="仿宋"/>
                <w:color w:val="auto"/>
                <w:highlight w:val="none"/>
                <w:lang w:val="zh-CN" w:eastAsia="zh-CN"/>
              </w:rPr>
            </w:pPr>
            <w:r>
              <w:rPr>
                <w:rFonts w:hint="eastAsia" w:ascii="仿宋" w:hAnsi="仿宋" w:eastAsia="仿宋" w:cs="仿宋"/>
                <w:color w:val="auto"/>
                <w:highlight w:val="none"/>
                <w:lang w:val="zh-CN"/>
              </w:rPr>
              <w:t>联 系 人：</w:t>
            </w:r>
            <w:r>
              <w:rPr>
                <w:rFonts w:hint="eastAsia" w:ascii="仿宋" w:hAnsi="仿宋" w:eastAsia="仿宋" w:cs="仿宋"/>
                <w:color w:val="auto"/>
                <w:highlight w:val="none"/>
                <w:lang w:val="zh-CN" w:eastAsia="zh-CN"/>
              </w:rPr>
              <w:t>邱先生</w:t>
            </w:r>
          </w:p>
          <w:p w14:paraId="2720CDFF">
            <w:pPr>
              <w:spacing w:line="400" w:lineRule="exact"/>
              <w:ind w:left="0" w:leftChars="0" w:firstLine="0" w:firstLineChars="0"/>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zh-CN"/>
              </w:rPr>
              <w:t>联系电话：18180926606</w:t>
            </w:r>
          </w:p>
          <w:p w14:paraId="2628735B">
            <w:pPr>
              <w:spacing w:line="400" w:lineRule="exact"/>
              <w:ind w:left="0" w:leftChars="0" w:firstLine="0" w:firstLineChars="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zh-CN"/>
              </w:rPr>
              <w:t>地址：</w:t>
            </w:r>
            <w:r>
              <w:rPr>
                <w:rFonts w:hint="eastAsia" w:ascii="仿宋" w:hAnsi="仿宋" w:eastAsia="仿宋" w:cs="仿宋"/>
                <w:color w:val="auto"/>
                <w:highlight w:val="none"/>
                <w:lang w:val="zh-CN" w:eastAsia="zh-CN"/>
              </w:rPr>
              <w:t>四川省自贡市自流井区华园街春华38栋201号（梨园市场二楼）</w:t>
            </w:r>
            <w:r>
              <w:rPr>
                <w:rFonts w:hint="eastAsia" w:ascii="仿宋" w:hAnsi="仿宋" w:eastAsia="仿宋" w:cs="仿宋"/>
                <w:color w:val="auto"/>
                <w:highlight w:val="none"/>
                <w:lang w:val="zh-CN"/>
              </w:rPr>
              <w:t>。</w:t>
            </w:r>
          </w:p>
        </w:tc>
      </w:tr>
      <w:tr w14:paraId="2BFD1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Align w:val="center"/>
          </w:tcPr>
          <w:p w14:paraId="3DF3E272">
            <w:pPr>
              <w:pStyle w:val="54"/>
              <w:widowControl/>
              <w:numPr>
                <w:ilvl w:val="0"/>
                <w:numId w:val="0"/>
              </w:numPr>
              <w:spacing w:line="400" w:lineRule="exact"/>
              <w:ind w:left="420" w:leftChars="0" w:hanging="420" w:firstLineChars="0"/>
              <w:jc w:val="center"/>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11.</w:t>
            </w:r>
          </w:p>
        </w:tc>
        <w:tc>
          <w:tcPr>
            <w:tcW w:w="902" w:type="pct"/>
            <w:vAlign w:val="center"/>
          </w:tcPr>
          <w:p w14:paraId="27E847BC">
            <w:pPr>
              <w:widowControl/>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费用承担</w:t>
            </w:r>
          </w:p>
          <w:p w14:paraId="7156F081">
            <w:pPr>
              <w:widowControl/>
              <w:spacing w:line="40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(实质性要求)</w:t>
            </w:r>
          </w:p>
        </w:tc>
        <w:tc>
          <w:tcPr>
            <w:tcW w:w="3736" w:type="pct"/>
            <w:vAlign w:val="center"/>
          </w:tcPr>
          <w:p w14:paraId="6F984E2C">
            <w:pPr>
              <w:spacing w:line="400" w:lineRule="exact"/>
              <w:ind w:left="0" w:leftChars="0" w:firstLine="0" w:firstLineChars="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供应商自行承担其准备和参加本次采购活动所发生的全部费用。</w:t>
            </w:r>
          </w:p>
        </w:tc>
      </w:tr>
      <w:tr w14:paraId="615BA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Align w:val="center"/>
          </w:tcPr>
          <w:p w14:paraId="709047DF">
            <w:pPr>
              <w:pStyle w:val="54"/>
              <w:widowControl/>
              <w:numPr>
                <w:ilvl w:val="0"/>
                <w:numId w:val="0"/>
              </w:numPr>
              <w:spacing w:line="400" w:lineRule="exact"/>
              <w:ind w:left="420" w:leftChars="0" w:hanging="420" w:firstLineChars="0"/>
              <w:jc w:val="center"/>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12.</w:t>
            </w:r>
          </w:p>
        </w:tc>
        <w:tc>
          <w:tcPr>
            <w:tcW w:w="902" w:type="pct"/>
            <w:vAlign w:val="center"/>
          </w:tcPr>
          <w:p w14:paraId="1BB71683">
            <w:pPr>
              <w:widowControl/>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确定成交供应商的方式</w:t>
            </w:r>
          </w:p>
        </w:tc>
        <w:tc>
          <w:tcPr>
            <w:tcW w:w="3736" w:type="pct"/>
            <w:vAlign w:val="center"/>
          </w:tcPr>
          <w:p w14:paraId="1C9FFC6B">
            <w:pPr>
              <w:spacing w:line="400" w:lineRule="exact"/>
              <w:ind w:left="0" w:leftChars="0" w:firstLine="0" w:firstLineChars="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采购人收到谈判报告及有关资料后，将在5个工作日内按照谈判报告中推荐的成交候选供应商顺序确定成交供应商。成交候选供应商并列的，采购人将采取随机抽取的方式确定成交供应商。采购人逾期未确定成交供应商且不提出异议的，视为确定谈判报告提出的排序第一的供应商为成交供应商。</w:t>
            </w:r>
          </w:p>
        </w:tc>
      </w:tr>
      <w:tr w14:paraId="72A55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61" w:type="pct"/>
            <w:vAlign w:val="center"/>
          </w:tcPr>
          <w:p w14:paraId="4EBA86FC">
            <w:pPr>
              <w:pStyle w:val="54"/>
              <w:widowControl/>
              <w:numPr>
                <w:ilvl w:val="0"/>
                <w:numId w:val="0"/>
              </w:numPr>
              <w:spacing w:line="400" w:lineRule="exact"/>
              <w:ind w:left="420" w:leftChars="0" w:hanging="420" w:firstLineChars="0"/>
              <w:jc w:val="center"/>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13.</w:t>
            </w:r>
          </w:p>
        </w:tc>
        <w:tc>
          <w:tcPr>
            <w:tcW w:w="902" w:type="pct"/>
            <w:vAlign w:val="center"/>
          </w:tcPr>
          <w:p w14:paraId="280994AE">
            <w:pPr>
              <w:widowControl/>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合同分包</w:t>
            </w:r>
          </w:p>
          <w:p w14:paraId="2DF8FE41">
            <w:pPr>
              <w:widowControl/>
              <w:spacing w:line="400" w:lineRule="exact"/>
              <w:jc w:val="center"/>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(实质性要求)</w:t>
            </w:r>
          </w:p>
        </w:tc>
        <w:tc>
          <w:tcPr>
            <w:tcW w:w="3736" w:type="pct"/>
            <w:vAlign w:val="center"/>
          </w:tcPr>
          <w:p w14:paraId="2579390B">
            <w:pPr>
              <w:pStyle w:val="58"/>
              <w:spacing w:line="40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除落实采购政策外，本项目：</w:t>
            </w:r>
          </w:p>
          <w:p w14:paraId="375DA0AD">
            <w:pPr>
              <w:pStyle w:val="58"/>
              <w:spacing w:line="40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sym w:font="Wingdings" w:char="F0FE"/>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不接受合同分包。</w:t>
            </w:r>
          </w:p>
          <w:p w14:paraId="11AA814F">
            <w:pPr>
              <w:pStyle w:val="58"/>
              <w:spacing w:line="400" w:lineRule="exact"/>
              <w:ind w:firstLine="0" w:firstLineChars="0"/>
              <w:rPr>
                <w:rFonts w:hint="eastAsia" w:ascii="仿宋" w:hAnsi="仿宋" w:eastAsia="仿宋" w:cs="仿宋"/>
                <w:color w:val="auto"/>
                <w:highlight w:val="none"/>
              </w:rPr>
            </w:pPr>
            <w:r>
              <w:rPr>
                <w:rFonts w:hint="eastAsia" w:ascii="仿宋" w:hAnsi="仿宋" w:eastAsia="仿宋" w:cs="仿宋"/>
                <w:color w:val="auto"/>
                <w:szCs w:val="21"/>
                <w:highlight w:val="none"/>
              </w:rPr>
              <w:sym w:font="Wingdings" w:char="00A8"/>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highlight w:val="none"/>
              </w:rPr>
              <w:t>接受合同分包。合同分包具体要求如下：</w:t>
            </w:r>
          </w:p>
          <w:p w14:paraId="04A6E017">
            <w:pPr>
              <w:pStyle w:val="58"/>
              <w:numPr>
                <w:ilvl w:val="0"/>
                <w:numId w:val="8"/>
              </w:numPr>
              <w:spacing w:line="400" w:lineRule="exact"/>
              <w:ind w:firstLineChars="0"/>
              <w:rPr>
                <w:rFonts w:hint="eastAsia" w:ascii="仿宋" w:hAnsi="仿宋" w:eastAsia="仿宋" w:cs="仿宋"/>
                <w:color w:val="auto"/>
                <w:highlight w:val="none"/>
              </w:rPr>
            </w:pPr>
            <w:r>
              <w:rPr>
                <w:rFonts w:hint="eastAsia" w:ascii="仿宋" w:hAnsi="仿宋" w:eastAsia="仿宋" w:cs="仿宋"/>
                <w:color w:val="auto"/>
                <w:highlight w:val="none"/>
              </w:rPr>
              <w:t>供应商根据谈判文件的规定和采购项目的实际情况，拟在成交后将成交项目的非主体、非关键性工作分包的，应当在响应文件中事前载明并明确分包承担主体，分包承担主体应当具备相应资质条件且不得再次分包。</w:t>
            </w:r>
          </w:p>
          <w:p w14:paraId="68BD1E9C">
            <w:pPr>
              <w:pStyle w:val="58"/>
              <w:numPr>
                <w:ilvl w:val="0"/>
                <w:numId w:val="8"/>
              </w:numPr>
              <w:spacing w:line="400" w:lineRule="exact"/>
              <w:ind w:firstLineChars="0"/>
              <w:rPr>
                <w:rFonts w:hint="eastAsia" w:ascii="仿宋" w:hAnsi="仿宋" w:eastAsia="仿宋" w:cs="仿宋"/>
                <w:color w:val="auto"/>
                <w:highlight w:val="none"/>
              </w:rPr>
            </w:pPr>
            <w:r>
              <w:rPr>
                <w:rFonts w:hint="eastAsia" w:ascii="仿宋" w:hAnsi="仿宋" w:eastAsia="仿宋" w:cs="仿宋"/>
                <w:color w:val="auto"/>
                <w:highlight w:val="none"/>
              </w:rPr>
              <w:t>分包履行合同的部分应当为采购项目的非主体、非关键性工作，不属于成交供应商的主要合同义务。</w:t>
            </w:r>
          </w:p>
        </w:tc>
      </w:tr>
      <w:tr w14:paraId="33424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61" w:type="pct"/>
            <w:vAlign w:val="center"/>
          </w:tcPr>
          <w:p w14:paraId="307B162B">
            <w:pPr>
              <w:pStyle w:val="54"/>
              <w:widowControl/>
              <w:numPr>
                <w:ilvl w:val="0"/>
                <w:numId w:val="0"/>
              </w:numPr>
              <w:spacing w:line="400" w:lineRule="exact"/>
              <w:ind w:left="420" w:leftChars="0" w:hanging="420" w:firstLineChars="0"/>
              <w:jc w:val="center"/>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14.</w:t>
            </w:r>
          </w:p>
        </w:tc>
        <w:tc>
          <w:tcPr>
            <w:tcW w:w="902" w:type="pct"/>
            <w:vAlign w:val="center"/>
          </w:tcPr>
          <w:p w14:paraId="2D03967A">
            <w:pPr>
              <w:widowControl/>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响应有效期</w:t>
            </w:r>
          </w:p>
          <w:p w14:paraId="52162C79">
            <w:pPr>
              <w:widowControl/>
              <w:spacing w:line="40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(实质性要求)</w:t>
            </w:r>
          </w:p>
        </w:tc>
        <w:tc>
          <w:tcPr>
            <w:tcW w:w="3736" w:type="pct"/>
            <w:vAlign w:val="center"/>
          </w:tcPr>
          <w:p w14:paraId="78B57F5D">
            <w:pPr>
              <w:pStyle w:val="58"/>
              <w:spacing w:line="40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本项目响应有效期：从首次提交响应文件截止之日起，不得少于90天。在响应文件有效期内，供应商不得撤销响应文件，坚持撤销的，撤销无效。供应商响应文件中必须载明响应文件有效期，响应文件中载明的响应文件有效期可以长于谈判文件规定的期限，但不得短于谈判文件规定的期限。否则，其响应文件将作为无效处理。</w:t>
            </w:r>
          </w:p>
        </w:tc>
      </w:tr>
      <w:tr w14:paraId="6884C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61" w:type="pct"/>
            <w:vAlign w:val="center"/>
          </w:tcPr>
          <w:p w14:paraId="44169718">
            <w:pPr>
              <w:pStyle w:val="54"/>
              <w:widowControl/>
              <w:numPr>
                <w:ilvl w:val="0"/>
                <w:numId w:val="0"/>
              </w:numPr>
              <w:spacing w:line="400" w:lineRule="exact"/>
              <w:ind w:left="420" w:leftChars="0" w:hanging="420" w:firstLineChars="0"/>
              <w:jc w:val="center"/>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15.</w:t>
            </w:r>
          </w:p>
        </w:tc>
        <w:tc>
          <w:tcPr>
            <w:tcW w:w="902" w:type="pct"/>
            <w:vAlign w:val="center"/>
          </w:tcPr>
          <w:p w14:paraId="08B99494">
            <w:pPr>
              <w:widowControl/>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知识产权</w:t>
            </w:r>
          </w:p>
          <w:p w14:paraId="4AC78B0D">
            <w:pPr>
              <w:widowControl/>
              <w:spacing w:line="400" w:lineRule="exact"/>
              <w:jc w:val="center"/>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(实质性要求)</w:t>
            </w:r>
          </w:p>
        </w:tc>
        <w:tc>
          <w:tcPr>
            <w:tcW w:w="3736" w:type="pct"/>
            <w:vAlign w:val="center"/>
          </w:tcPr>
          <w:p w14:paraId="5BAA72F1">
            <w:pPr>
              <w:pStyle w:val="58"/>
              <w:numPr>
                <w:ilvl w:val="0"/>
                <w:numId w:val="9"/>
              </w:numPr>
              <w:spacing w:line="400" w:lineRule="exact"/>
              <w:ind w:firstLineChars="0"/>
              <w:rPr>
                <w:rFonts w:hint="eastAsia" w:ascii="仿宋" w:hAnsi="仿宋" w:eastAsia="仿宋" w:cs="仿宋"/>
                <w:color w:val="auto"/>
                <w:highlight w:val="none"/>
              </w:rPr>
            </w:pPr>
            <w:r>
              <w:rPr>
                <w:rFonts w:hint="eastAsia" w:ascii="仿宋" w:hAnsi="仿宋" w:eastAsia="仿宋" w:cs="仿宋"/>
                <w:color w:val="auto"/>
                <w:highlight w:val="none"/>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14:paraId="2610082E">
            <w:pPr>
              <w:pStyle w:val="58"/>
              <w:numPr>
                <w:ilvl w:val="0"/>
                <w:numId w:val="9"/>
              </w:numPr>
              <w:spacing w:line="400" w:lineRule="exact"/>
              <w:ind w:firstLineChars="0"/>
              <w:rPr>
                <w:rFonts w:hint="eastAsia" w:ascii="仿宋" w:hAnsi="仿宋" w:eastAsia="仿宋" w:cs="仿宋"/>
                <w:color w:val="auto"/>
                <w:highlight w:val="none"/>
              </w:rPr>
            </w:pPr>
            <w:r>
              <w:rPr>
                <w:rFonts w:hint="eastAsia" w:ascii="仿宋" w:hAnsi="仿宋" w:eastAsia="仿宋" w:cs="仿宋"/>
                <w:color w:val="auto"/>
                <w:highlight w:val="none"/>
              </w:rPr>
              <w:t>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14:paraId="69CEC664">
            <w:pPr>
              <w:pStyle w:val="58"/>
              <w:numPr>
                <w:ilvl w:val="0"/>
                <w:numId w:val="9"/>
              </w:numPr>
              <w:spacing w:line="400" w:lineRule="exact"/>
              <w:ind w:firstLineChars="0"/>
              <w:rPr>
                <w:rFonts w:hint="eastAsia" w:ascii="仿宋" w:hAnsi="仿宋" w:eastAsia="仿宋" w:cs="仿宋"/>
                <w:color w:val="auto"/>
                <w:highlight w:val="none"/>
              </w:rPr>
            </w:pPr>
            <w:r>
              <w:rPr>
                <w:rFonts w:hint="eastAsia" w:ascii="仿宋" w:hAnsi="仿宋" w:eastAsia="仿宋" w:cs="仿宋"/>
                <w:color w:val="auto"/>
                <w:highlight w:val="none"/>
              </w:rPr>
              <w:t>如采用供应商所不拥有的知识产权，则在报价中必须包括合法获取使用该知识产权的相关费用。</w:t>
            </w:r>
          </w:p>
          <w:p w14:paraId="4880B8A7">
            <w:pPr>
              <w:pStyle w:val="58"/>
              <w:numPr>
                <w:ilvl w:val="0"/>
                <w:numId w:val="9"/>
              </w:numPr>
              <w:spacing w:line="400" w:lineRule="exact"/>
              <w:ind w:firstLineChars="0"/>
              <w:rPr>
                <w:rFonts w:hint="eastAsia" w:ascii="仿宋" w:hAnsi="仿宋" w:eastAsia="仿宋" w:cs="仿宋"/>
                <w:color w:val="auto"/>
                <w:highlight w:val="none"/>
              </w:rPr>
            </w:pPr>
            <w:r>
              <w:rPr>
                <w:rFonts w:hint="eastAsia" w:ascii="仿宋" w:hAnsi="仿宋" w:eastAsia="仿宋" w:cs="仿宋"/>
                <w:color w:val="auto"/>
                <w:highlight w:val="none"/>
              </w:rPr>
              <w:t>构成本谈判文件的各组成部分，未经采购人书面同意，供应商不得擅自复印或用于非本谈判项目所需的其他目的。</w:t>
            </w:r>
          </w:p>
        </w:tc>
      </w:tr>
      <w:tr w14:paraId="63FB4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61" w:type="pct"/>
            <w:vAlign w:val="center"/>
          </w:tcPr>
          <w:p w14:paraId="30FDA361">
            <w:pPr>
              <w:pStyle w:val="54"/>
              <w:widowControl/>
              <w:numPr>
                <w:ilvl w:val="0"/>
                <w:numId w:val="0"/>
              </w:numPr>
              <w:spacing w:line="400" w:lineRule="exact"/>
              <w:ind w:left="420" w:leftChars="0" w:hanging="420" w:firstLineChars="0"/>
              <w:jc w:val="center"/>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16.</w:t>
            </w:r>
          </w:p>
        </w:tc>
        <w:tc>
          <w:tcPr>
            <w:tcW w:w="902" w:type="pct"/>
            <w:vAlign w:val="center"/>
          </w:tcPr>
          <w:p w14:paraId="17EF1556">
            <w:pPr>
              <w:widowControl/>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充分、公平竞争保障措施</w:t>
            </w:r>
          </w:p>
        </w:tc>
        <w:tc>
          <w:tcPr>
            <w:tcW w:w="3736" w:type="pct"/>
            <w:vAlign w:val="center"/>
          </w:tcPr>
          <w:p w14:paraId="2EA9BBF9">
            <w:pPr>
              <w:pStyle w:val="58"/>
              <w:numPr>
                <w:ilvl w:val="0"/>
                <w:numId w:val="10"/>
              </w:numPr>
              <w:spacing w:line="400" w:lineRule="exact"/>
              <w:ind w:firstLineChars="0"/>
              <w:rPr>
                <w:rFonts w:hint="eastAsia" w:ascii="仿宋" w:hAnsi="仿宋" w:eastAsia="仿宋" w:cs="仿宋"/>
                <w:color w:val="auto"/>
                <w:highlight w:val="none"/>
              </w:rPr>
            </w:pPr>
            <w:r>
              <w:rPr>
                <w:rFonts w:hint="eastAsia" w:ascii="仿宋" w:hAnsi="仿宋" w:eastAsia="仿宋" w:cs="仿宋"/>
                <w:color w:val="auto"/>
                <w:highlight w:val="none"/>
              </w:rPr>
              <w:t>单位负责人为同一人或者存在直接控股、管理关系的不同供应商不得参加同一合同项下的采购活动。</w:t>
            </w:r>
          </w:p>
          <w:p w14:paraId="48158524">
            <w:pPr>
              <w:pStyle w:val="58"/>
              <w:numPr>
                <w:ilvl w:val="0"/>
                <w:numId w:val="10"/>
              </w:numPr>
              <w:spacing w:line="400" w:lineRule="exact"/>
              <w:ind w:firstLineChars="0"/>
              <w:rPr>
                <w:rFonts w:hint="eastAsia" w:ascii="仿宋" w:hAnsi="仿宋" w:eastAsia="仿宋" w:cs="仿宋"/>
                <w:color w:val="auto"/>
                <w:highlight w:val="none"/>
              </w:rPr>
            </w:pPr>
            <w:r>
              <w:rPr>
                <w:rFonts w:hint="eastAsia" w:ascii="仿宋" w:hAnsi="仿宋" w:eastAsia="仿宋" w:cs="仿宋"/>
                <w:color w:val="auto"/>
                <w:highlight w:val="none"/>
              </w:rPr>
              <w:t>不同供应商不得在同一合同项下的采购项目中，委托同一个自然人、同一单位的人员编制资格预审申请文件。</w:t>
            </w:r>
          </w:p>
          <w:p w14:paraId="6B76C8DF">
            <w:pPr>
              <w:pStyle w:val="58"/>
              <w:numPr>
                <w:ilvl w:val="0"/>
                <w:numId w:val="10"/>
              </w:numPr>
              <w:spacing w:line="400" w:lineRule="exact"/>
              <w:ind w:firstLineChars="0"/>
              <w:rPr>
                <w:rFonts w:hint="eastAsia" w:ascii="仿宋" w:hAnsi="仿宋" w:eastAsia="仿宋" w:cs="仿宋"/>
                <w:color w:val="auto"/>
                <w:highlight w:val="none"/>
              </w:rPr>
            </w:pPr>
            <w:r>
              <w:rPr>
                <w:rFonts w:hint="eastAsia" w:ascii="仿宋" w:hAnsi="仿宋" w:eastAsia="仿宋" w:cs="仿宋"/>
                <w:color w:val="auto"/>
                <w:highlight w:val="none"/>
              </w:rPr>
              <w:t>不同供应商不得在同一合同项下的采购项目中，委托同一个自然人、同一单位的人员办理资格预审申请文件响应事宜。</w:t>
            </w:r>
          </w:p>
          <w:p w14:paraId="20D00521">
            <w:pPr>
              <w:pStyle w:val="58"/>
              <w:numPr>
                <w:ilvl w:val="0"/>
                <w:numId w:val="10"/>
              </w:numPr>
              <w:spacing w:line="400" w:lineRule="exact"/>
              <w:ind w:firstLineChars="0"/>
              <w:rPr>
                <w:rFonts w:hint="eastAsia" w:ascii="仿宋" w:hAnsi="仿宋" w:eastAsia="仿宋" w:cs="仿宋"/>
                <w:color w:val="auto"/>
                <w:highlight w:val="none"/>
              </w:rPr>
            </w:pPr>
            <w:r>
              <w:rPr>
                <w:rFonts w:hint="eastAsia" w:ascii="仿宋" w:hAnsi="仿宋" w:eastAsia="仿宋" w:cs="仿宋"/>
                <w:color w:val="auto"/>
                <w:highlight w:val="none"/>
              </w:rPr>
              <w:t>不同供应商的资格预审申请文件载明的项目管理成员或者联系人员不得为同一人。</w:t>
            </w:r>
          </w:p>
          <w:p w14:paraId="60203AE8">
            <w:pPr>
              <w:pStyle w:val="58"/>
              <w:numPr>
                <w:ilvl w:val="0"/>
                <w:numId w:val="10"/>
              </w:numPr>
              <w:spacing w:line="400" w:lineRule="exact"/>
              <w:ind w:firstLineChars="0"/>
              <w:rPr>
                <w:rFonts w:hint="eastAsia" w:ascii="仿宋" w:hAnsi="仿宋" w:eastAsia="仿宋" w:cs="仿宋"/>
                <w:color w:val="auto"/>
                <w:highlight w:val="none"/>
              </w:rPr>
            </w:pPr>
            <w:r>
              <w:rPr>
                <w:rFonts w:hint="eastAsia" w:ascii="仿宋" w:hAnsi="仿宋" w:eastAsia="仿宋" w:cs="仿宋"/>
                <w:color w:val="auto"/>
                <w:highlight w:val="none"/>
              </w:rPr>
              <w:t>不同供应商的</w:t>
            </w:r>
            <w:r>
              <w:rPr>
                <w:rFonts w:hint="eastAsia" w:ascii="仿宋" w:hAnsi="仿宋" w:eastAsia="仿宋" w:cs="仿宋"/>
                <w:color w:val="auto"/>
                <w:highlight w:val="none"/>
                <w:lang w:val="en-US" w:eastAsia="zh-CN"/>
              </w:rPr>
              <w:t>响应</w:t>
            </w:r>
            <w:r>
              <w:rPr>
                <w:rFonts w:hint="eastAsia" w:ascii="仿宋" w:hAnsi="仿宋" w:eastAsia="仿宋" w:cs="仿宋"/>
                <w:color w:val="auto"/>
                <w:highlight w:val="none"/>
              </w:rPr>
              <w:t>文件不得相互混装。</w:t>
            </w:r>
          </w:p>
          <w:p w14:paraId="34F941FB">
            <w:pPr>
              <w:pStyle w:val="58"/>
              <w:numPr>
                <w:ilvl w:val="0"/>
                <w:numId w:val="10"/>
              </w:numPr>
              <w:spacing w:line="400" w:lineRule="exact"/>
              <w:ind w:firstLineChars="0"/>
              <w:rPr>
                <w:rFonts w:hint="eastAsia" w:ascii="仿宋" w:hAnsi="仿宋" w:eastAsia="仿宋" w:cs="仿宋"/>
                <w:color w:val="auto"/>
                <w:highlight w:val="none"/>
              </w:rPr>
            </w:pPr>
            <w:r>
              <w:rPr>
                <w:rFonts w:hint="eastAsia" w:ascii="仿宋" w:hAnsi="仿宋" w:eastAsia="仿宋" w:cs="仿宋"/>
                <w:color w:val="auto"/>
                <w:highlight w:val="none"/>
              </w:rPr>
              <w:t>为采购项目提供整体设计、规范编制或者项目管理、监理、检测等服务的供应商，不得再参加本项目的采购活动。</w:t>
            </w:r>
          </w:p>
          <w:p w14:paraId="6C79FEB8">
            <w:pPr>
              <w:pStyle w:val="58"/>
              <w:spacing w:line="400" w:lineRule="exact"/>
              <w:ind w:left="42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本项目符合本条规定的供应商是：无。</w:t>
            </w:r>
          </w:p>
          <w:p w14:paraId="0FA0752E">
            <w:pPr>
              <w:pStyle w:val="58"/>
              <w:numPr>
                <w:ilvl w:val="0"/>
                <w:numId w:val="10"/>
              </w:numPr>
              <w:spacing w:line="400" w:lineRule="exact"/>
              <w:ind w:firstLineChars="0"/>
              <w:rPr>
                <w:rFonts w:hint="eastAsia" w:ascii="仿宋" w:hAnsi="仿宋" w:eastAsia="仿宋" w:cs="仿宋"/>
                <w:color w:val="auto"/>
                <w:highlight w:val="none"/>
              </w:rPr>
            </w:pPr>
            <w:r>
              <w:rPr>
                <w:rFonts w:hint="eastAsia" w:ascii="仿宋" w:hAnsi="仿宋" w:eastAsia="仿宋" w:cs="仿宋"/>
                <w:color w:val="auto"/>
                <w:highlight w:val="none"/>
              </w:rPr>
              <w:t>本项目采购代理及其分支机构不得作为供应商参加本项目采购活动。</w:t>
            </w:r>
          </w:p>
        </w:tc>
      </w:tr>
      <w:tr w14:paraId="1E18C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61" w:type="pct"/>
            <w:vAlign w:val="center"/>
          </w:tcPr>
          <w:p w14:paraId="1E4C2733">
            <w:pPr>
              <w:pStyle w:val="54"/>
              <w:widowControl/>
              <w:numPr>
                <w:ilvl w:val="0"/>
                <w:numId w:val="0"/>
              </w:numPr>
              <w:spacing w:line="400" w:lineRule="exact"/>
              <w:ind w:left="420" w:leftChars="0" w:hanging="420" w:firstLineChars="0"/>
              <w:jc w:val="center"/>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17.</w:t>
            </w:r>
          </w:p>
        </w:tc>
        <w:tc>
          <w:tcPr>
            <w:tcW w:w="902" w:type="pct"/>
            <w:vAlign w:val="center"/>
          </w:tcPr>
          <w:p w14:paraId="62935124">
            <w:pPr>
              <w:widowControl/>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信用记录查询及使用</w:t>
            </w:r>
          </w:p>
        </w:tc>
        <w:tc>
          <w:tcPr>
            <w:tcW w:w="3736" w:type="pct"/>
            <w:vAlign w:val="center"/>
          </w:tcPr>
          <w:p w14:paraId="222E7F44">
            <w:pPr>
              <w:pStyle w:val="58"/>
              <w:spacing w:line="40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采购人、采购代理机构在供应商提交响应文件时间截止后，通过“信用中国”网站（www.creditchina.gov.cn）等渠道查询提交了响应文件的供应商的信用记录。经查询，截至响应文件提交截止日，列入失信被执行人、重大税收违法案件当事人名单、政府采购严重违法失信行为记录名单的供应商，不得参与本项目采购活动。以联合体形式参加本项目采购活动，联合体成员存在前述不良信用记录的，视同联合体存在前述不良信用记录，不得参与本项目采购活动。前述无效响应人的信用记录查询结果网页截图将予以保存。</w:t>
            </w:r>
          </w:p>
        </w:tc>
      </w:tr>
      <w:tr w14:paraId="4B669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61" w:type="pct"/>
            <w:vAlign w:val="center"/>
          </w:tcPr>
          <w:p w14:paraId="179AA875">
            <w:pPr>
              <w:pStyle w:val="54"/>
              <w:widowControl/>
              <w:numPr>
                <w:ilvl w:val="0"/>
                <w:numId w:val="0"/>
              </w:numPr>
              <w:spacing w:line="400" w:lineRule="exact"/>
              <w:ind w:leftChars="0"/>
              <w:jc w:val="center"/>
              <w:rPr>
                <w:rFonts w:hint="default" w:ascii="仿宋" w:hAnsi="仿宋" w:eastAsia="仿宋" w:cs="仿宋"/>
                <w:color w:val="auto"/>
                <w:szCs w:val="21"/>
                <w:highlight w:val="none"/>
                <w:lang w:val="en-US" w:eastAsia="zh-CN"/>
              </w:rPr>
            </w:pPr>
            <w:bookmarkStart w:id="8" w:name="_Toc498593001"/>
            <w:bookmarkStart w:id="9" w:name="_Toc498593026"/>
            <w:r>
              <w:rPr>
                <w:rFonts w:hint="eastAsia" w:ascii="仿宋" w:hAnsi="仿宋" w:eastAsia="仿宋" w:cs="仿宋"/>
                <w:color w:val="auto"/>
                <w:szCs w:val="21"/>
                <w:highlight w:val="none"/>
                <w:lang w:val="en-US" w:eastAsia="zh-CN"/>
              </w:rPr>
              <w:t>18.</w:t>
            </w:r>
          </w:p>
        </w:tc>
        <w:tc>
          <w:tcPr>
            <w:tcW w:w="902" w:type="pct"/>
            <w:vAlign w:val="center"/>
          </w:tcPr>
          <w:p w14:paraId="2882642A">
            <w:pPr>
              <w:widowControl/>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本次采购活动适用法律、法规的特别约定和说明</w:t>
            </w:r>
          </w:p>
          <w:p w14:paraId="3EF0F8F8">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仿宋"/>
                <w:color w:val="auto"/>
                <w:highlight w:val="none"/>
                <w:lang w:eastAsia="zh-CN"/>
              </w:rPr>
            </w:pPr>
            <w:r>
              <w:rPr>
                <w:rFonts w:hint="eastAsia" w:ascii="仿宋" w:hAnsi="仿宋" w:eastAsia="仿宋" w:cs="仿宋"/>
                <w:b/>
                <w:bCs w:val="0"/>
                <w:color w:val="auto"/>
                <w:kern w:val="2"/>
                <w:sz w:val="21"/>
                <w:szCs w:val="21"/>
                <w:highlight w:val="none"/>
                <w:lang w:val="en-US" w:eastAsia="zh-CN" w:bidi="ar-SA"/>
              </w:rPr>
              <w:t>（实质性要求）</w:t>
            </w:r>
          </w:p>
        </w:tc>
        <w:tc>
          <w:tcPr>
            <w:tcW w:w="3736" w:type="pct"/>
            <w:vAlign w:val="center"/>
          </w:tcPr>
          <w:p w14:paraId="42C23704">
            <w:pPr>
              <w:pStyle w:val="58"/>
              <w:numPr>
                <w:ilvl w:val="0"/>
                <w:numId w:val="11"/>
              </w:numPr>
              <w:spacing w:line="400" w:lineRule="exact"/>
              <w:ind w:left="425" w:leftChars="0" w:hanging="425" w:firstLineChars="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本采购活动是按《中华人民共和国民法典》之相关规定，以网络公告方式发起要约、受要约人(竞标人)对要约事项进行竞标承诺响应等一次普通民事采购经济活动，受《中华人民共和国民法典》 的调整、保护。本项目采购活动中的所有参与者只要遵守了《中华人民共和国民法典》规定的“平等自愿”、“诚实信用”和“意思自治”原则即可，只要参加采购活动，即为自觉接受采购文件的相关要约事项。</w:t>
            </w:r>
          </w:p>
          <w:p w14:paraId="04DA075C">
            <w:pPr>
              <w:pStyle w:val="58"/>
              <w:numPr>
                <w:ilvl w:val="0"/>
                <w:numId w:val="11"/>
              </w:numPr>
              <w:spacing w:line="400" w:lineRule="exact"/>
              <w:ind w:left="425" w:leftChars="0" w:hanging="425" w:firstLineChars="0"/>
              <w:rPr>
                <w:rFonts w:hint="eastAsia" w:ascii="仿宋" w:hAnsi="仿宋" w:eastAsia="仿宋" w:cs="仿宋"/>
                <w:color w:val="auto"/>
                <w:highlight w:val="none"/>
              </w:rPr>
            </w:pPr>
            <w:r>
              <w:rPr>
                <w:rFonts w:hint="eastAsia" w:ascii="仿宋" w:hAnsi="仿宋" w:eastAsia="仿宋" w:cs="仿宋"/>
                <w:color w:val="auto"/>
                <w:highlight w:val="none"/>
                <w:lang w:val="zh-CN"/>
              </w:rPr>
              <w:t>本次采购活动不受《中华人民共和国政府采购法》、《中华人民共和国政府采购法实施条例》及其相关政府采购法律、法规制度的调整约束。供应商愿意接受本采购文件要约内容和做法，就报名参加采购活动；如果不接受本采购文件的要约内容和做法，则不参与；也不存在质疑、投诉之规定。</w:t>
            </w:r>
          </w:p>
        </w:tc>
      </w:tr>
    </w:tbl>
    <w:p w14:paraId="42A9F637">
      <w:pPr>
        <w:outlineLvl w:val="9"/>
        <w:rPr>
          <w:rFonts w:hint="eastAsia" w:ascii="仿宋" w:hAnsi="仿宋" w:eastAsia="仿宋" w:cs="仿宋"/>
          <w:b w:val="0"/>
          <w:bCs/>
          <w:color w:val="auto"/>
          <w:kern w:val="2"/>
          <w:sz w:val="28"/>
          <w:szCs w:val="28"/>
          <w:highlight w:val="none"/>
          <w:lang w:val="en-US" w:eastAsia="zh-CN" w:bidi="ar-SA"/>
        </w:rPr>
      </w:pPr>
    </w:p>
    <w:p w14:paraId="4AFA05B0">
      <w:pPr>
        <w:pStyle w:val="4"/>
        <w:pageBreakBefore w:val="0"/>
        <w:widowControl w:val="0"/>
        <w:numPr>
          <w:ilvl w:val="0"/>
          <w:numId w:val="0"/>
        </w:numPr>
        <w:kinsoku/>
        <w:wordWrap/>
        <w:overflowPunct/>
        <w:topLinePunct w:val="0"/>
        <w:autoSpaceDE/>
        <w:autoSpaceDN/>
        <w:bidi w:val="0"/>
        <w:adjustRightInd w:val="0"/>
        <w:snapToGrid w:val="0"/>
        <w:spacing w:before="0" w:after="0" w:line="360" w:lineRule="auto"/>
        <w:ind w:left="0" w:leftChars="0" w:firstLine="560" w:firstLineChars="200"/>
        <w:jc w:val="center"/>
        <w:textAlignment w:val="auto"/>
        <w:rPr>
          <w:rFonts w:hint="eastAsia" w:ascii="仿宋" w:hAnsi="仿宋" w:eastAsia="仿宋" w:cs="仿宋"/>
          <w:b w:val="0"/>
          <w:color w:val="auto"/>
          <w:sz w:val="28"/>
          <w:szCs w:val="28"/>
          <w:highlight w:val="none"/>
        </w:rPr>
      </w:pPr>
      <w:r>
        <w:rPr>
          <w:rFonts w:hint="eastAsia" w:ascii="仿宋" w:hAnsi="仿宋" w:eastAsia="仿宋" w:cs="仿宋"/>
          <w:b w:val="0"/>
          <w:bCs/>
          <w:color w:val="auto"/>
          <w:kern w:val="2"/>
          <w:sz w:val="28"/>
          <w:szCs w:val="28"/>
          <w:highlight w:val="none"/>
          <w:lang w:val="en-US" w:eastAsia="zh-CN" w:bidi="ar-SA"/>
        </w:rPr>
        <w:t>（二）</w:t>
      </w:r>
      <w:r>
        <w:rPr>
          <w:rFonts w:hint="eastAsia" w:ascii="仿宋" w:hAnsi="仿宋" w:eastAsia="仿宋" w:cs="仿宋"/>
          <w:b w:val="0"/>
          <w:color w:val="auto"/>
          <w:sz w:val="28"/>
          <w:szCs w:val="28"/>
          <w:highlight w:val="none"/>
        </w:rPr>
        <w:t>总则</w:t>
      </w:r>
      <w:bookmarkEnd w:id="8"/>
      <w:bookmarkEnd w:id="9"/>
    </w:p>
    <w:p w14:paraId="57AAE97F">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kern w:val="2"/>
          <w:sz w:val="21"/>
          <w:szCs w:val="21"/>
          <w:highlight w:val="none"/>
          <w:lang w:val="en-US" w:eastAsia="zh-CN" w:bidi="ar-SA"/>
        </w:rPr>
        <w:t>1.</w:t>
      </w:r>
      <w:r>
        <w:rPr>
          <w:rFonts w:hint="eastAsia" w:ascii="仿宋" w:hAnsi="仿宋" w:eastAsia="仿宋" w:cs="仿宋"/>
          <w:b/>
          <w:color w:val="auto"/>
          <w:szCs w:val="21"/>
          <w:highlight w:val="none"/>
        </w:rPr>
        <w:t>适用范围</w:t>
      </w:r>
    </w:p>
    <w:p w14:paraId="5D4CBC9A">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1.1.</w:t>
      </w:r>
      <w:r>
        <w:rPr>
          <w:rFonts w:hint="eastAsia" w:ascii="仿宋" w:hAnsi="仿宋" w:eastAsia="仿宋" w:cs="仿宋"/>
          <w:color w:val="auto"/>
          <w:szCs w:val="21"/>
          <w:highlight w:val="none"/>
        </w:rPr>
        <w:t>本谈判文件仅适用于本次采购活动。</w:t>
      </w:r>
    </w:p>
    <w:p w14:paraId="5A2F5C5C">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1.2.</w:t>
      </w:r>
      <w:r>
        <w:rPr>
          <w:rFonts w:hint="eastAsia" w:ascii="仿宋" w:hAnsi="仿宋" w:eastAsia="仿宋" w:cs="仿宋"/>
          <w:color w:val="auto"/>
          <w:szCs w:val="21"/>
          <w:highlight w:val="none"/>
        </w:rPr>
        <w:t>本谈判文件的最终解释权归采购人和采购代理机构所有。</w:t>
      </w:r>
    </w:p>
    <w:p w14:paraId="245114ED">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1.3.</w:t>
      </w:r>
      <w:r>
        <w:rPr>
          <w:rFonts w:hint="eastAsia" w:ascii="仿宋" w:hAnsi="仿宋" w:eastAsia="仿宋" w:cs="仿宋"/>
          <w:color w:val="auto"/>
          <w:szCs w:val="21"/>
          <w:highlight w:val="none"/>
        </w:rPr>
        <w:t>本谈判文件中所引相关法律制度规定，在采购中有变化的，按照变化后的相关法律制度规定执行。本章规定的内容条款，在本项目提交响应文件截止时间届满后，因相关法律制度规定的变化导致不符合相关法律制度规定的，直接按照变化后的相关法律制度规定执行，本谈判文件不再做调整。</w:t>
      </w:r>
    </w:p>
    <w:p w14:paraId="2F5FC76C">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1.4.</w:t>
      </w:r>
      <w:r>
        <w:rPr>
          <w:rFonts w:hint="eastAsia" w:ascii="仿宋" w:hAnsi="仿宋" w:eastAsia="仿宋" w:cs="仿宋"/>
          <w:color w:val="auto"/>
          <w:szCs w:val="21"/>
          <w:highlight w:val="none"/>
        </w:rPr>
        <w:t>国家或行业主管部门对供应商和采购产品的技术标准、质量标准和资格资质条件等有强制性规定的，必须符合其要求。</w:t>
      </w:r>
      <w:r>
        <w:rPr>
          <w:rFonts w:hint="eastAsia" w:ascii="仿宋" w:hAnsi="仿宋" w:eastAsia="仿宋" w:cs="仿宋"/>
          <w:b/>
          <w:color w:val="auto"/>
          <w:szCs w:val="21"/>
          <w:highlight w:val="none"/>
        </w:rPr>
        <w:t>（实质性要求）</w:t>
      </w:r>
    </w:p>
    <w:p w14:paraId="276133C5">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kern w:val="2"/>
          <w:sz w:val="21"/>
          <w:szCs w:val="21"/>
          <w:highlight w:val="none"/>
          <w:lang w:val="en-US" w:eastAsia="zh-CN" w:bidi="ar-SA"/>
        </w:rPr>
        <w:t>2.</w:t>
      </w:r>
      <w:r>
        <w:rPr>
          <w:rFonts w:hint="eastAsia" w:ascii="仿宋" w:hAnsi="仿宋" w:eastAsia="仿宋" w:cs="仿宋"/>
          <w:b/>
          <w:color w:val="auto"/>
          <w:szCs w:val="21"/>
          <w:highlight w:val="none"/>
        </w:rPr>
        <w:t>联合体参加采购活动（允许或要求联合体参加的项目适用）</w:t>
      </w:r>
    </w:p>
    <w:p w14:paraId="7F552731">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2.1.</w:t>
      </w:r>
      <w:r>
        <w:rPr>
          <w:rFonts w:hint="eastAsia" w:ascii="仿宋" w:hAnsi="仿宋" w:eastAsia="仿宋" w:cs="仿宋"/>
          <w:color w:val="auto"/>
          <w:szCs w:val="21"/>
          <w:highlight w:val="none"/>
        </w:rPr>
        <w:t>两个以上供应商可以组成一个联合体，以一个供应商的身份参加资格预审。联合体应当确定其中一方为本次采购活动的全权代表，代表联合体处理参加采购活动的一切事务。</w:t>
      </w:r>
    </w:p>
    <w:p w14:paraId="73FF7533">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2.2.</w:t>
      </w:r>
      <w:r>
        <w:rPr>
          <w:rFonts w:hint="eastAsia" w:ascii="仿宋" w:hAnsi="仿宋" w:eastAsia="仿宋" w:cs="仿宋"/>
          <w:color w:val="auto"/>
          <w:szCs w:val="21"/>
          <w:highlight w:val="none"/>
        </w:rPr>
        <w:t>供应商以联合体形式参加采购活动的，联合体各方均应具备</w:t>
      </w:r>
      <w:r>
        <w:rPr>
          <w:rFonts w:hint="eastAsia" w:ascii="仿宋" w:hAnsi="仿宋" w:eastAsia="仿宋" w:cs="仿宋"/>
          <w:color w:val="auto"/>
          <w:szCs w:val="21"/>
          <w:highlight w:val="none"/>
          <w:lang w:eastAsia="zh-CN"/>
        </w:rPr>
        <w:t>相关法律法规</w:t>
      </w:r>
      <w:r>
        <w:rPr>
          <w:rFonts w:hint="eastAsia" w:ascii="仿宋" w:hAnsi="仿宋" w:eastAsia="仿宋" w:cs="仿宋"/>
          <w:color w:val="auto"/>
          <w:szCs w:val="21"/>
          <w:highlight w:val="none"/>
        </w:rPr>
        <w:t>中规定的供应商资格条件；按照联合体分工承担相同工作的，还应同时满足</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规定的特定资格条件；按照联合体分工承担不同工作的，联合体各方不需同时具备</w:t>
      </w:r>
      <w:r>
        <w:rPr>
          <w:rFonts w:hint="eastAsia" w:ascii="仿宋" w:hAnsi="仿宋" w:eastAsia="仿宋" w:cs="仿宋"/>
          <w:color w:val="auto"/>
          <w:szCs w:val="21"/>
          <w:highlight w:val="none"/>
          <w:lang w:eastAsia="zh-CN"/>
        </w:rPr>
        <w:t>采购</w:t>
      </w:r>
      <w:r>
        <w:rPr>
          <w:rFonts w:hint="eastAsia" w:ascii="仿宋" w:hAnsi="仿宋" w:eastAsia="仿宋" w:cs="仿宋"/>
          <w:color w:val="auto"/>
          <w:szCs w:val="21"/>
          <w:highlight w:val="none"/>
        </w:rPr>
        <w:t>文件规定的特定资格条件，但应当具备承担对应工作内容的特定资格条件。</w:t>
      </w:r>
    </w:p>
    <w:p w14:paraId="7E72B0C8">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2.3.</w:t>
      </w:r>
      <w:r>
        <w:rPr>
          <w:rFonts w:hint="eastAsia" w:ascii="仿宋" w:hAnsi="仿宋" w:eastAsia="仿宋" w:cs="仿宋"/>
          <w:color w:val="auto"/>
          <w:szCs w:val="21"/>
          <w:highlight w:val="none"/>
        </w:rPr>
        <w:t>联合体各方之间应当签订联合协议，载明联合体各方承担的工作和义务，并将联合协议连同资格预审申请文件一并提交采购人、采购代理机构。联合体各方签订联合协议后，不得再单独参加或者与其他供应商另外组成联合体参加同一合同项下的采购活动。</w:t>
      </w:r>
    </w:p>
    <w:p w14:paraId="7BFDB532">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2.4.</w:t>
      </w:r>
      <w:r>
        <w:rPr>
          <w:rFonts w:hint="eastAsia" w:ascii="仿宋" w:hAnsi="仿宋" w:eastAsia="仿宋" w:cs="仿宋"/>
          <w:color w:val="auto"/>
          <w:szCs w:val="21"/>
          <w:highlight w:val="none"/>
        </w:rPr>
        <w:t>联合体中有同类资质的供应商按照联合体分工承担相同工作的，应当按照资质等级较低的供应商确定资质等级。</w:t>
      </w:r>
    </w:p>
    <w:p w14:paraId="25055D7F">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2.5.</w:t>
      </w:r>
      <w:r>
        <w:rPr>
          <w:rFonts w:hint="eastAsia" w:ascii="仿宋" w:hAnsi="仿宋" w:eastAsia="仿宋" w:cs="仿宋"/>
          <w:color w:val="auto"/>
          <w:szCs w:val="21"/>
          <w:highlight w:val="none"/>
        </w:rPr>
        <w:t>联合体各方应当共同与采购人签订采购合同，就采购合同约定的事项对采购人承担连带责任。</w:t>
      </w:r>
    </w:p>
    <w:p w14:paraId="22DCBE0B">
      <w:pPr>
        <w:outlineLvl w:val="9"/>
        <w:rPr>
          <w:rFonts w:hint="eastAsia" w:ascii="仿宋" w:hAnsi="仿宋" w:eastAsia="仿宋" w:cs="仿宋"/>
          <w:b w:val="0"/>
          <w:bCs/>
          <w:color w:val="auto"/>
          <w:kern w:val="2"/>
          <w:sz w:val="28"/>
          <w:szCs w:val="28"/>
          <w:highlight w:val="none"/>
          <w:lang w:val="en-US" w:eastAsia="zh-CN" w:bidi="ar-SA"/>
        </w:rPr>
      </w:pPr>
      <w:bookmarkStart w:id="10" w:name="_Toc38440025"/>
    </w:p>
    <w:p w14:paraId="589958C2">
      <w:pPr>
        <w:pStyle w:val="4"/>
        <w:pageBreakBefore w:val="0"/>
        <w:widowControl w:val="0"/>
        <w:numPr>
          <w:ilvl w:val="0"/>
          <w:numId w:val="0"/>
        </w:numPr>
        <w:kinsoku/>
        <w:wordWrap/>
        <w:overflowPunct/>
        <w:topLinePunct w:val="0"/>
        <w:autoSpaceDE/>
        <w:autoSpaceDN/>
        <w:bidi w:val="0"/>
        <w:adjustRightInd w:val="0"/>
        <w:snapToGrid w:val="0"/>
        <w:spacing w:before="0" w:after="0" w:line="360" w:lineRule="auto"/>
        <w:ind w:left="0" w:leftChars="0" w:firstLine="560" w:firstLineChars="200"/>
        <w:jc w:val="center"/>
        <w:textAlignment w:val="auto"/>
        <w:rPr>
          <w:rFonts w:hint="eastAsia" w:ascii="仿宋" w:hAnsi="仿宋" w:eastAsia="仿宋" w:cs="仿宋"/>
          <w:b w:val="0"/>
          <w:color w:val="auto"/>
          <w:sz w:val="28"/>
          <w:szCs w:val="28"/>
          <w:highlight w:val="none"/>
        </w:rPr>
      </w:pPr>
      <w:r>
        <w:rPr>
          <w:rFonts w:hint="eastAsia" w:ascii="仿宋" w:hAnsi="仿宋" w:eastAsia="仿宋" w:cs="仿宋"/>
          <w:b w:val="0"/>
          <w:bCs/>
          <w:color w:val="auto"/>
          <w:kern w:val="2"/>
          <w:sz w:val="28"/>
          <w:szCs w:val="28"/>
          <w:highlight w:val="none"/>
          <w:lang w:val="en-US" w:eastAsia="zh-CN" w:bidi="ar-SA"/>
        </w:rPr>
        <w:t>（三）</w:t>
      </w:r>
      <w:r>
        <w:rPr>
          <w:rFonts w:hint="eastAsia" w:ascii="仿宋" w:hAnsi="仿宋" w:eastAsia="仿宋" w:cs="仿宋"/>
          <w:b w:val="0"/>
          <w:color w:val="auto"/>
          <w:sz w:val="28"/>
          <w:szCs w:val="28"/>
          <w:highlight w:val="none"/>
        </w:rPr>
        <w:t>采购文件</w:t>
      </w:r>
      <w:bookmarkEnd w:id="10"/>
    </w:p>
    <w:p w14:paraId="5A0030AF">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kern w:val="2"/>
          <w:sz w:val="21"/>
          <w:szCs w:val="21"/>
          <w:highlight w:val="none"/>
          <w:lang w:val="en-US" w:eastAsia="zh-CN" w:bidi="ar-SA"/>
        </w:rPr>
        <w:t>3.</w:t>
      </w:r>
      <w:r>
        <w:rPr>
          <w:rFonts w:hint="eastAsia" w:ascii="仿宋" w:hAnsi="仿宋" w:eastAsia="仿宋" w:cs="仿宋"/>
          <w:b/>
          <w:color w:val="auto"/>
          <w:szCs w:val="21"/>
          <w:highlight w:val="none"/>
        </w:rPr>
        <w:t>谈判文件的构成</w:t>
      </w:r>
    </w:p>
    <w:p w14:paraId="17DD99F8">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3.1.</w:t>
      </w:r>
      <w:r>
        <w:rPr>
          <w:rFonts w:hint="eastAsia" w:ascii="仿宋" w:hAnsi="仿宋" w:eastAsia="仿宋" w:cs="仿宋"/>
          <w:color w:val="auto"/>
          <w:szCs w:val="21"/>
          <w:highlight w:val="none"/>
        </w:rPr>
        <w:t>谈判文件是本次采购活动的基本依据，也是供应商准备响应文件、参加采购活动的依据。</w:t>
      </w:r>
    </w:p>
    <w:p w14:paraId="4F16A29C">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3.2.</w:t>
      </w:r>
      <w:r>
        <w:rPr>
          <w:rFonts w:hint="eastAsia" w:ascii="仿宋" w:hAnsi="仿宋" w:eastAsia="仿宋" w:cs="仿宋"/>
          <w:color w:val="auto"/>
          <w:szCs w:val="21"/>
          <w:highlight w:val="none"/>
        </w:rPr>
        <w:t>谈判文件包括谈判邀请、采购方式、采购预算、采购需求、评审程序、评审方法、评审标准、价格构成或者报价要求、响应文件编制要求、谈判过程中可能实质性变动内容、响应文件提交的截止时间、开启时间及地点以及合同草案条款等。</w:t>
      </w:r>
    </w:p>
    <w:p w14:paraId="5E171803">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kern w:val="2"/>
          <w:sz w:val="21"/>
          <w:szCs w:val="21"/>
          <w:highlight w:val="none"/>
          <w:lang w:val="en-US" w:eastAsia="zh-CN" w:bidi="ar-SA"/>
        </w:rPr>
        <w:t>4.</w:t>
      </w:r>
      <w:r>
        <w:rPr>
          <w:rFonts w:hint="eastAsia" w:ascii="仿宋" w:hAnsi="仿宋" w:eastAsia="仿宋" w:cs="仿宋"/>
          <w:b/>
          <w:color w:val="auto"/>
          <w:szCs w:val="21"/>
          <w:highlight w:val="none"/>
        </w:rPr>
        <w:t>谈判文件的澄清和修改</w:t>
      </w:r>
    </w:p>
    <w:p w14:paraId="3946801A">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4.1.</w:t>
      </w:r>
      <w:r>
        <w:rPr>
          <w:rFonts w:hint="eastAsia" w:ascii="仿宋" w:hAnsi="仿宋" w:eastAsia="仿宋" w:cs="仿宋"/>
          <w:color w:val="auto"/>
          <w:szCs w:val="21"/>
          <w:highlight w:val="none"/>
        </w:rPr>
        <w:t>在提交响应文件截止时间前，采购人、采购代理机构可以对谈判文件进行澄清或者修改。</w:t>
      </w:r>
    </w:p>
    <w:p w14:paraId="442A6F1A">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4.2.</w:t>
      </w:r>
      <w:r>
        <w:rPr>
          <w:rFonts w:hint="eastAsia" w:ascii="仿宋" w:hAnsi="仿宋" w:eastAsia="仿宋" w:cs="仿宋"/>
          <w:color w:val="auto"/>
          <w:szCs w:val="21"/>
          <w:highlight w:val="none"/>
        </w:rPr>
        <w:t>采购代理机构对已发出的谈判文件进行澄清或者修改，应当通过以书面形式将澄清或者修改的内容通知所有成功获取谈判文件的供应商，同时在</w:t>
      </w:r>
      <w:r>
        <w:rPr>
          <w:rFonts w:hint="eastAsia" w:ascii="仿宋" w:hAnsi="仿宋" w:eastAsia="仿宋" w:cs="仿宋"/>
          <w:color w:val="auto"/>
          <w:szCs w:val="21"/>
          <w:highlight w:val="none"/>
          <w:lang w:eastAsia="zh-CN"/>
        </w:rPr>
        <w:t>四川招投标网</w:t>
      </w:r>
      <w:r>
        <w:rPr>
          <w:rFonts w:hint="eastAsia" w:ascii="仿宋" w:hAnsi="仿宋" w:eastAsia="仿宋" w:cs="仿宋"/>
          <w:color w:val="auto"/>
          <w:szCs w:val="21"/>
          <w:highlight w:val="none"/>
        </w:rPr>
        <w:t>上发布更正公告。该澄清或者修改的内容为谈判文件的组成部分，澄清或者修改的内容可能影响响应文件编制的，采购人或者采购代理机构发布澄清公告并以书面形式通知成功获取谈判文件的供应商的时间，应当在提交首次响应文件截止</w:t>
      </w:r>
      <w:r>
        <w:rPr>
          <w:rFonts w:hint="eastAsia" w:ascii="仿宋" w:hAnsi="仿宋" w:eastAsia="仿宋" w:cs="仿宋"/>
          <w:color w:val="auto"/>
          <w:szCs w:val="21"/>
          <w:highlight w:val="none"/>
          <w:lang w:eastAsia="zh-CN"/>
        </w:rPr>
        <w:t>时间</w:t>
      </w:r>
      <w:r>
        <w:rPr>
          <w:rFonts w:hint="eastAsia" w:ascii="仿宋" w:hAnsi="仿宋" w:eastAsia="仿宋" w:cs="仿宋"/>
          <w:color w:val="auto"/>
          <w:szCs w:val="21"/>
          <w:highlight w:val="none"/>
          <w:lang w:val="en-US" w:eastAsia="zh-CN"/>
        </w:rPr>
        <w:t>3个工作日之</w:t>
      </w:r>
      <w:r>
        <w:rPr>
          <w:rFonts w:hint="eastAsia" w:ascii="仿宋" w:hAnsi="仿宋" w:eastAsia="仿宋" w:cs="仿宋"/>
          <w:color w:val="auto"/>
          <w:szCs w:val="21"/>
          <w:highlight w:val="none"/>
        </w:rPr>
        <w:t>前；不足上述时间的，应当顺延提交响应文件的截止时间。</w:t>
      </w:r>
    </w:p>
    <w:p w14:paraId="351982CF">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4.3.</w:t>
      </w:r>
      <w:r>
        <w:rPr>
          <w:rFonts w:hint="eastAsia" w:ascii="仿宋" w:hAnsi="仿宋" w:eastAsia="仿宋" w:cs="仿宋"/>
          <w:color w:val="auto"/>
          <w:szCs w:val="21"/>
          <w:highlight w:val="none"/>
        </w:rPr>
        <w:t>供应商应于提交响应文件截止时间前，及时关注</w:t>
      </w:r>
      <w:r>
        <w:rPr>
          <w:rFonts w:hint="eastAsia" w:ascii="仿宋" w:hAnsi="仿宋" w:eastAsia="仿宋" w:cs="仿宋"/>
          <w:color w:val="auto"/>
          <w:szCs w:val="21"/>
          <w:highlight w:val="none"/>
          <w:lang w:eastAsia="zh-CN"/>
        </w:rPr>
        <w:t>四川招投标网</w:t>
      </w:r>
      <w:r>
        <w:rPr>
          <w:rFonts w:hint="eastAsia" w:ascii="仿宋" w:hAnsi="仿宋" w:eastAsia="仿宋" w:cs="仿宋"/>
          <w:color w:val="auto"/>
          <w:szCs w:val="21"/>
          <w:highlight w:val="none"/>
        </w:rPr>
        <w:t>发布的本项目更正公告，以保证对谈判文件做出正确的响应。供应商未及时关注相关信息或者更正公告所造成的不利后果，由供应商自行承担。</w:t>
      </w:r>
    </w:p>
    <w:p w14:paraId="588A1CEC">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kern w:val="2"/>
          <w:sz w:val="21"/>
          <w:szCs w:val="21"/>
          <w:highlight w:val="none"/>
          <w:lang w:val="en-US" w:eastAsia="zh-CN" w:bidi="ar-SA"/>
        </w:rPr>
        <w:t>5.</w:t>
      </w:r>
      <w:r>
        <w:rPr>
          <w:rFonts w:hint="eastAsia" w:ascii="仿宋" w:hAnsi="仿宋" w:eastAsia="仿宋" w:cs="仿宋"/>
          <w:b/>
          <w:color w:val="auto"/>
          <w:szCs w:val="21"/>
          <w:highlight w:val="none"/>
        </w:rPr>
        <w:t>答疑会和现场考察</w:t>
      </w:r>
    </w:p>
    <w:p w14:paraId="0511C192">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5.1.</w:t>
      </w:r>
      <w:r>
        <w:rPr>
          <w:rFonts w:hint="eastAsia" w:ascii="仿宋" w:hAnsi="仿宋" w:eastAsia="仿宋" w:cs="仿宋"/>
          <w:color w:val="auto"/>
          <w:szCs w:val="21"/>
          <w:highlight w:val="none"/>
        </w:rPr>
        <w:t>采购人、采购代理机构认为有必要，将在谈判文件提供期限截止时间后至响应文件提交截止时间前，组织已获取谈判文件的潜在供应商现场考察或者召开答疑会。</w:t>
      </w:r>
    </w:p>
    <w:p w14:paraId="027E6373">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5.2.</w:t>
      </w:r>
      <w:r>
        <w:rPr>
          <w:rFonts w:hint="eastAsia" w:ascii="仿宋" w:hAnsi="仿宋" w:eastAsia="仿宋" w:cs="仿宋"/>
          <w:color w:val="auto"/>
          <w:szCs w:val="21"/>
          <w:highlight w:val="none"/>
        </w:rPr>
        <w:t>采购人、采购代理机构组织现场考察或者召开答疑会的，将通过交易系统以书面形式通知所有按照规定获取了谈判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14:paraId="3E7B8820">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5.3.</w:t>
      </w:r>
      <w:r>
        <w:rPr>
          <w:rFonts w:hint="eastAsia" w:ascii="仿宋" w:hAnsi="仿宋" w:eastAsia="仿宋" w:cs="仿宋"/>
          <w:color w:val="auto"/>
          <w:szCs w:val="21"/>
          <w:highlight w:val="none"/>
        </w:rPr>
        <w:t>供应商考察现场或者参加答疑会所发生的一切费用由供应商自己承担。</w:t>
      </w:r>
    </w:p>
    <w:p w14:paraId="54196386">
      <w:pPr>
        <w:outlineLvl w:val="9"/>
        <w:rPr>
          <w:rFonts w:hint="eastAsia" w:ascii="仿宋" w:hAnsi="仿宋" w:eastAsia="仿宋" w:cs="仿宋"/>
          <w:b w:val="0"/>
          <w:bCs/>
          <w:color w:val="auto"/>
          <w:kern w:val="2"/>
          <w:sz w:val="28"/>
          <w:szCs w:val="28"/>
          <w:highlight w:val="none"/>
          <w:lang w:val="en-US" w:eastAsia="zh-CN" w:bidi="ar-SA"/>
        </w:rPr>
      </w:pPr>
      <w:bookmarkStart w:id="11" w:name="_Toc498593028"/>
      <w:bookmarkStart w:id="12" w:name="_Toc498593003"/>
    </w:p>
    <w:p w14:paraId="517AA865">
      <w:pPr>
        <w:pStyle w:val="4"/>
        <w:pageBreakBefore w:val="0"/>
        <w:widowControl w:val="0"/>
        <w:numPr>
          <w:ilvl w:val="0"/>
          <w:numId w:val="0"/>
        </w:numPr>
        <w:kinsoku/>
        <w:wordWrap/>
        <w:overflowPunct/>
        <w:topLinePunct w:val="0"/>
        <w:autoSpaceDE/>
        <w:autoSpaceDN/>
        <w:bidi w:val="0"/>
        <w:adjustRightInd w:val="0"/>
        <w:snapToGrid w:val="0"/>
        <w:spacing w:before="0" w:after="0" w:line="360" w:lineRule="auto"/>
        <w:ind w:left="0" w:leftChars="0" w:firstLine="560" w:firstLineChars="200"/>
        <w:jc w:val="center"/>
        <w:textAlignment w:val="auto"/>
        <w:rPr>
          <w:rFonts w:hint="eastAsia" w:ascii="仿宋" w:hAnsi="仿宋" w:eastAsia="仿宋" w:cs="仿宋"/>
          <w:b w:val="0"/>
          <w:color w:val="auto"/>
          <w:sz w:val="28"/>
          <w:szCs w:val="28"/>
          <w:highlight w:val="none"/>
        </w:rPr>
      </w:pPr>
      <w:r>
        <w:rPr>
          <w:rFonts w:hint="eastAsia" w:ascii="仿宋" w:hAnsi="仿宋" w:eastAsia="仿宋" w:cs="仿宋"/>
          <w:b w:val="0"/>
          <w:bCs/>
          <w:color w:val="auto"/>
          <w:kern w:val="2"/>
          <w:sz w:val="28"/>
          <w:szCs w:val="28"/>
          <w:highlight w:val="none"/>
          <w:lang w:val="en-US" w:eastAsia="zh-CN" w:bidi="ar-SA"/>
        </w:rPr>
        <w:t>（四）</w:t>
      </w:r>
      <w:r>
        <w:rPr>
          <w:rFonts w:hint="eastAsia" w:ascii="仿宋" w:hAnsi="仿宋" w:eastAsia="仿宋" w:cs="仿宋"/>
          <w:b w:val="0"/>
          <w:color w:val="auto"/>
          <w:sz w:val="28"/>
          <w:szCs w:val="28"/>
          <w:highlight w:val="none"/>
        </w:rPr>
        <w:t>响应</w:t>
      </w:r>
      <w:bookmarkEnd w:id="11"/>
      <w:bookmarkEnd w:id="12"/>
      <w:r>
        <w:rPr>
          <w:rFonts w:hint="eastAsia" w:ascii="仿宋" w:hAnsi="仿宋" w:eastAsia="仿宋" w:cs="仿宋"/>
          <w:b w:val="0"/>
          <w:color w:val="auto"/>
          <w:sz w:val="28"/>
          <w:szCs w:val="28"/>
          <w:highlight w:val="none"/>
        </w:rPr>
        <w:t>文件</w:t>
      </w:r>
    </w:p>
    <w:p w14:paraId="669B3E4F">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kern w:val="2"/>
          <w:sz w:val="21"/>
          <w:szCs w:val="21"/>
          <w:highlight w:val="none"/>
          <w:lang w:val="en-US" w:eastAsia="zh-CN" w:bidi="ar-SA"/>
        </w:rPr>
        <w:t>6.</w:t>
      </w:r>
      <w:r>
        <w:rPr>
          <w:rFonts w:hint="eastAsia" w:ascii="仿宋" w:hAnsi="仿宋" w:eastAsia="仿宋" w:cs="仿宋"/>
          <w:b/>
          <w:color w:val="auto"/>
          <w:szCs w:val="21"/>
          <w:highlight w:val="none"/>
        </w:rPr>
        <w:t>响应文件的语言（实质性要求）</w:t>
      </w:r>
    </w:p>
    <w:p w14:paraId="17A5C221">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6.1.</w:t>
      </w:r>
      <w:r>
        <w:rPr>
          <w:rFonts w:hint="eastAsia" w:ascii="仿宋" w:hAnsi="仿宋" w:eastAsia="仿宋" w:cs="仿宋"/>
          <w:color w:val="auto"/>
          <w:szCs w:val="21"/>
          <w:highlight w:val="none"/>
        </w:rPr>
        <w:t>供应商提交的响应文件以及供应商与谈判小组在评审过程中的所有来往书面文件均须使用中文。响应文件中如附有外文资料，主要部分要对应翻译成中文并附在相关外文资料后面。</w:t>
      </w:r>
    </w:p>
    <w:p w14:paraId="2827EF74">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6.2.</w:t>
      </w:r>
      <w:r>
        <w:rPr>
          <w:rFonts w:hint="eastAsia" w:ascii="仿宋" w:hAnsi="仿宋" w:eastAsia="仿宋" w:cs="仿宋"/>
          <w:color w:val="auto"/>
          <w:szCs w:val="21"/>
          <w:highlight w:val="none"/>
        </w:rPr>
        <w:t>翻译的中文资料与外文资料如果出现差异和矛盾时，以中文为准。涉嫌提供虚假材料的按照相关法律法规处理。</w:t>
      </w:r>
    </w:p>
    <w:p w14:paraId="59991618">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6.3.</w:t>
      </w:r>
      <w:r>
        <w:rPr>
          <w:rFonts w:hint="eastAsia" w:ascii="仿宋" w:hAnsi="仿宋" w:eastAsia="仿宋" w:cs="仿宋"/>
          <w:color w:val="auto"/>
          <w:szCs w:val="21"/>
          <w:highlight w:val="none"/>
        </w:rPr>
        <w:t>如因未翻译而造成对供应商的不利后果，由供应商承担。</w:t>
      </w:r>
    </w:p>
    <w:p w14:paraId="6A9C1BF0">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kern w:val="2"/>
          <w:sz w:val="21"/>
          <w:szCs w:val="21"/>
          <w:highlight w:val="none"/>
          <w:lang w:val="en-US" w:eastAsia="zh-CN" w:bidi="ar-SA"/>
        </w:rPr>
        <w:t>7.</w:t>
      </w:r>
      <w:r>
        <w:rPr>
          <w:rFonts w:hint="eastAsia" w:ascii="仿宋" w:hAnsi="仿宋" w:eastAsia="仿宋" w:cs="仿宋"/>
          <w:b/>
          <w:color w:val="auto"/>
          <w:szCs w:val="21"/>
          <w:highlight w:val="none"/>
        </w:rPr>
        <w:t>计量单位（实质性要求）</w:t>
      </w:r>
    </w:p>
    <w:p w14:paraId="356A4AF0">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7.1.</w:t>
      </w:r>
      <w:r>
        <w:rPr>
          <w:rFonts w:hint="eastAsia" w:ascii="仿宋" w:hAnsi="仿宋" w:eastAsia="仿宋" w:cs="仿宋"/>
          <w:color w:val="auto"/>
          <w:szCs w:val="21"/>
          <w:highlight w:val="none"/>
        </w:rPr>
        <w:t>除谈判文件中另有规定外，本次采购项目所有合同项下的报价均采用国家法定的计量单位。</w:t>
      </w:r>
    </w:p>
    <w:p w14:paraId="5A04A24B">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kern w:val="2"/>
          <w:sz w:val="21"/>
          <w:szCs w:val="21"/>
          <w:highlight w:val="none"/>
          <w:lang w:val="en-US" w:eastAsia="zh-CN" w:bidi="ar-SA"/>
        </w:rPr>
        <w:t>8.</w:t>
      </w:r>
      <w:r>
        <w:rPr>
          <w:rFonts w:hint="eastAsia" w:ascii="仿宋" w:hAnsi="仿宋" w:eastAsia="仿宋" w:cs="仿宋"/>
          <w:b/>
          <w:color w:val="auto"/>
          <w:szCs w:val="21"/>
          <w:highlight w:val="none"/>
        </w:rPr>
        <w:t>报价（实质性要求）</w:t>
      </w:r>
    </w:p>
    <w:p w14:paraId="1AE6FF5C">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8.1.</w:t>
      </w:r>
      <w:r>
        <w:rPr>
          <w:rFonts w:hint="eastAsia" w:ascii="仿宋" w:hAnsi="仿宋" w:eastAsia="仿宋" w:cs="仿宋"/>
          <w:color w:val="auto"/>
          <w:szCs w:val="21"/>
          <w:highlight w:val="none"/>
        </w:rPr>
        <w:t>所有报价一律以人民币报价。</w:t>
      </w:r>
    </w:p>
    <w:p w14:paraId="6C92473C">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8.2.</w:t>
      </w:r>
      <w:r>
        <w:rPr>
          <w:rFonts w:hint="eastAsia" w:ascii="仿宋" w:hAnsi="仿宋" w:eastAsia="仿宋" w:cs="仿宋"/>
          <w:color w:val="auto"/>
          <w:szCs w:val="21"/>
          <w:highlight w:val="none"/>
        </w:rPr>
        <w:t>报价是其响应本项目要求的全部工作内容的价格体现，包括供应商完成本项目所需的一切费用。</w:t>
      </w:r>
    </w:p>
    <w:p w14:paraId="24AEFC33">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kern w:val="2"/>
          <w:sz w:val="21"/>
          <w:szCs w:val="21"/>
          <w:highlight w:val="none"/>
          <w:lang w:val="en-US" w:eastAsia="zh-CN" w:bidi="ar-SA"/>
        </w:rPr>
        <w:t>9.</w:t>
      </w:r>
      <w:r>
        <w:rPr>
          <w:rFonts w:hint="eastAsia" w:ascii="仿宋" w:hAnsi="仿宋" w:eastAsia="仿宋" w:cs="仿宋"/>
          <w:b/>
          <w:color w:val="auto"/>
          <w:szCs w:val="21"/>
          <w:highlight w:val="none"/>
        </w:rPr>
        <w:t>响应文件格式</w:t>
      </w:r>
    </w:p>
    <w:p w14:paraId="7DE22E98">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9.1.</w:t>
      </w:r>
      <w:r>
        <w:rPr>
          <w:rFonts w:hint="eastAsia" w:ascii="仿宋" w:hAnsi="仿宋" w:eastAsia="仿宋" w:cs="仿宋"/>
          <w:color w:val="auto"/>
          <w:szCs w:val="21"/>
          <w:highlight w:val="none"/>
        </w:rPr>
        <w:t>供应商应执行采购文件</w:t>
      </w:r>
      <w:r>
        <w:rPr>
          <w:rFonts w:hint="eastAsia" w:ascii="仿宋" w:hAnsi="仿宋" w:eastAsia="仿宋" w:cs="仿宋"/>
          <w:color w:val="auto"/>
          <w:szCs w:val="21"/>
          <w:highlight w:val="none"/>
          <w:lang w:eastAsia="zh-CN"/>
        </w:rPr>
        <w:t>第七章</w:t>
      </w:r>
      <w:r>
        <w:rPr>
          <w:rFonts w:hint="eastAsia" w:ascii="仿宋" w:hAnsi="仿宋" w:eastAsia="仿宋" w:cs="仿宋"/>
          <w:color w:val="auto"/>
          <w:szCs w:val="21"/>
          <w:highlight w:val="none"/>
        </w:rPr>
        <w:t>的规定要求。</w:t>
      </w:r>
    </w:p>
    <w:p w14:paraId="103B982B">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9.2.</w:t>
      </w:r>
      <w:r>
        <w:rPr>
          <w:rFonts w:hint="eastAsia" w:ascii="仿宋" w:hAnsi="仿宋" w:eastAsia="仿宋" w:cs="仿宋"/>
          <w:color w:val="auto"/>
          <w:szCs w:val="21"/>
          <w:highlight w:val="none"/>
        </w:rPr>
        <w:t>对于采购文件没有格式要求的由供应商自行编写。</w:t>
      </w:r>
    </w:p>
    <w:p w14:paraId="1A7268CB">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kern w:val="2"/>
          <w:sz w:val="21"/>
          <w:szCs w:val="21"/>
          <w:highlight w:val="none"/>
          <w:lang w:val="en-US" w:eastAsia="zh-CN" w:bidi="ar-SA"/>
        </w:rPr>
        <w:t>10.</w:t>
      </w:r>
      <w:r>
        <w:rPr>
          <w:rFonts w:hint="eastAsia" w:ascii="仿宋" w:hAnsi="仿宋" w:eastAsia="仿宋" w:cs="仿宋"/>
          <w:b/>
          <w:color w:val="auto"/>
          <w:szCs w:val="21"/>
          <w:highlight w:val="none"/>
        </w:rPr>
        <w:t>响应文件的组成</w:t>
      </w:r>
    </w:p>
    <w:p w14:paraId="1E9884C8">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参加谈判的供应商按照竞争性谈判文件的要求准备响应文件，响应文件分为资格性响应文件、其他响应文件、最终报价响应文件和响应文件电子文档共4部分。供应商拟在成交后将成交项目的非主体、非关键性工作交由他人完成的，应当在响应文件中载明或谈判过程中澄清。</w:t>
      </w:r>
    </w:p>
    <w:p w14:paraId="4ED64F4E">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bCs/>
          <w:color w:val="auto"/>
          <w:sz w:val="24"/>
          <w:highlight w:val="none"/>
          <w:lang w:val="en-US" w:eastAsia="zh-CN"/>
        </w:rPr>
      </w:pPr>
      <w:r>
        <w:rPr>
          <w:rFonts w:hint="eastAsia" w:ascii="仿宋" w:hAnsi="仿宋" w:eastAsia="仿宋" w:cs="仿宋"/>
          <w:color w:val="auto"/>
          <w:szCs w:val="21"/>
          <w:highlight w:val="none"/>
          <w:lang w:val="en-US" w:eastAsia="zh-CN"/>
        </w:rPr>
        <w:t>注：以下有格式表的按格式表要求提供，无格式表的格式自拟。</w:t>
      </w:r>
    </w:p>
    <w:p w14:paraId="491E5065">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kern w:val="2"/>
          <w:sz w:val="21"/>
          <w:szCs w:val="21"/>
          <w:highlight w:val="none"/>
          <w:lang w:val="en-US" w:eastAsia="zh-CN" w:bidi="ar-SA"/>
        </w:rPr>
        <w:t>10.1.</w:t>
      </w:r>
      <w:r>
        <w:rPr>
          <w:rFonts w:hint="eastAsia" w:ascii="仿宋" w:hAnsi="仿宋" w:eastAsia="仿宋" w:cs="仿宋"/>
          <w:color w:val="auto"/>
          <w:szCs w:val="21"/>
          <w:highlight w:val="none"/>
        </w:rPr>
        <w:t>资格性响应文件部分</w:t>
      </w:r>
      <w:r>
        <w:rPr>
          <w:rFonts w:hint="eastAsia" w:ascii="仿宋" w:hAnsi="仿宋" w:eastAsia="仿宋" w:cs="仿宋"/>
          <w:b/>
          <w:bCs/>
          <w:color w:val="auto"/>
          <w:szCs w:val="21"/>
          <w:highlight w:val="none"/>
          <w:lang w:eastAsia="zh-CN"/>
        </w:rPr>
        <w:t>（实质性要求）</w:t>
      </w:r>
    </w:p>
    <w:p w14:paraId="13D6798F">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严格按照第四章要求提供相关资格、资质性及其他类似效力要求的相关证明材料。</w:t>
      </w:r>
    </w:p>
    <w:p w14:paraId="5FD270B9">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kern w:val="2"/>
          <w:sz w:val="21"/>
          <w:szCs w:val="21"/>
          <w:highlight w:val="none"/>
          <w:lang w:val="en-US" w:eastAsia="zh-CN" w:bidi="ar-SA"/>
        </w:rPr>
        <w:t>10.2.</w:t>
      </w:r>
      <w:r>
        <w:rPr>
          <w:rFonts w:hint="eastAsia" w:ascii="仿宋" w:hAnsi="仿宋" w:eastAsia="仿宋" w:cs="仿宋"/>
          <w:color w:val="auto"/>
          <w:szCs w:val="21"/>
          <w:highlight w:val="none"/>
          <w:lang w:val="en-US" w:eastAsia="zh-CN"/>
        </w:rPr>
        <w:t>其他响应文件</w:t>
      </w:r>
    </w:p>
    <w:p w14:paraId="49F94CD0">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供应商按照采购文件要求做出技术应答，供应商的技术服务响应包括但不限于以下内容：</w:t>
      </w:r>
    </w:p>
    <w:p w14:paraId="59EC5218">
      <w:pPr>
        <w:pStyle w:val="54"/>
        <w:pageBreakBefore w:val="0"/>
        <w:widowControl w:val="0"/>
        <w:numPr>
          <w:ilvl w:val="2"/>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kern w:val="2"/>
          <w:sz w:val="21"/>
          <w:szCs w:val="21"/>
          <w:highlight w:val="none"/>
          <w:lang w:val="en-US" w:eastAsia="zh-CN" w:bidi="ar-SA"/>
        </w:rPr>
        <w:t>10.2.1.</w:t>
      </w:r>
      <w:r>
        <w:rPr>
          <w:rFonts w:hint="eastAsia" w:ascii="仿宋" w:hAnsi="仿宋" w:eastAsia="仿宋" w:cs="仿宋"/>
          <w:color w:val="auto"/>
          <w:szCs w:val="21"/>
          <w:highlight w:val="none"/>
          <w:lang w:val="en-US" w:eastAsia="zh-CN"/>
        </w:rPr>
        <w:t>商务部分</w:t>
      </w:r>
    </w:p>
    <w:p w14:paraId="267E67BC">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default" w:ascii="仿宋" w:hAnsi="仿宋" w:eastAsia="仿宋" w:cs="仿宋"/>
          <w:color w:val="auto"/>
          <w:kern w:val="2"/>
          <w:sz w:val="21"/>
          <w:szCs w:val="21"/>
          <w:highlight w:val="none"/>
          <w:lang w:val="en-US" w:eastAsia="zh-CN" w:bidi="ar-SA"/>
        </w:rPr>
        <w:t>(1)</w:t>
      </w:r>
      <w:r>
        <w:rPr>
          <w:rFonts w:hint="eastAsia" w:ascii="仿宋" w:hAnsi="仿宋" w:eastAsia="仿宋" w:cs="仿宋"/>
          <w:color w:val="auto"/>
          <w:szCs w:val="21"/>
          <w:highlight w:val="none"/>
          <w:lang w:val="en-US" w:eastAsia="zh-CN"/>
        </w:rPr>
        <w:t>承诺函</w:t>
      </w:r>
      <w:r>
        <w:rPr>
          <w:rFonts w:hint="eastAsia" w:ascii="仿宋" w:hAnsi="仿宋" w:eastAsia="仿宋" w:cs="仿宋"/>
          <w:b/>
          <w:bCs/>
          <w:color w:val="auto"/>
          <w:szCs w:val="21"/>
          <w:highlight w:val="none"/>
          <w:lang w:eastAsia="zh-CN"/>
        </w:rPr>
        <w:t>（实质性要求）；</w:t>
      </w:r>
    </w:p>
    <w:p w14:paraId="3CDC2DC0">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default" w:ascii="仿宋" w:hAnsi="仿宋" w:eastAsia="仿宋" w:cs="仿宋"/>
          <w:color w:val="auto"/>
          <w:kern w:val="2"/>
          <w:sz w:val="21"/>
          <w:szCs w:val="21"/>
          <w:highlight w:val="none"/>
          <w:lang w:val="en-US" w:eastAsia="zh-CN" w:bidi="ar-SA"/>
        </w:rPr>
        <w:t>(2)</w:t>
      </w:r>
      <w:r>
        <w:rPr>
          <w:rFonts w:hint="eastAsia" w:ascii="仿宋" w:hAnsi="仿宋" w:eastAsia="仿宋" w:cs="仿宋"/>
          <w:color w:val="auto"/>
          <w:szCs w:val="21"/>
          <w:highlight w:val="none"/>
          <w:lang w:val="en-US" w:eastAsia="zh-CN"/>
        </w:rPr>
        <w:t>供应商简介；</w:t>
      </w:r>
    </w:p>
    <w:p w14:paraId="69D4A9C5">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default" w:ascii="仿宋" w:hAnsi="仿宋" w:eastAsia="仿宋" w:cs="仿宋"/>
          <w:color w:val="auto"/>
          <w:kern w:val="2"/>
          <w:sz w:val="21"/>
          <w:szCs w:val="21"/>
          <w:highlight w:val="none"/>
          <w:lang w:val="en-US" w:eastAsia="zh-CN" w:bidi="ar-SA"/>
        </w:rPr>
        <w:t>(3)</w:t>
      </w:r>
      <w:r>
        <w:rPr>
          <w:rFonts w:hint="eastAsia" w:ascii="仿宋" w:hAnsi="仿宋" w:eastAsia="仿宋" w:cs="仿宋"/>
          <w:color w:val="auto"/>
          <w:szCs w:val="21"/>
          <w:highlight w:val="none"/>
          <w:lang w:val="en-US" w:eastAsia="zh-CN"/>
        </w:rPr>
        <w:t>供应商基本情况表；</w:t>
      </w:r>
    </w:p>
    <w:p w14:paraId="167B347A">
      <w:pPr>
        <w:pStyle w:val="54"/>
        <w:pageBreakBefore w:val="0"/>
        <w:widowControl w:val="0"/>
        <w:numPr>
          <w:ilvl w:val="2"/>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kern w:val="2"/>
          <w:sz w:val="21"/>
          <w:szCs w:val="21"/>
          <w:highlight w:val="none"/>
          <w:lang w:val="en-US" w:eastAsia="zh-CN" w:bidi="ar-SA"/>
        </w:rPr>
        <w:t>10.2.2.</w:t>
      </w:r>
      <w:r>
        <w:rPr>
          <w:rFonts w:hint="eastAsia" w:ascii="仿宋" w:hAnsi="仿宋" w:eastAsia="仿宋" w:cs="仿宋"/>
          <w:color w:val="auto"/>
          <w:szCs w:val="21"/>
          <w:highlight w:val="none"/>
          <w:lang w:val="en-US" w:eastAsia="zh-CN"/>
        </w:rPr>
        <w:t>服务性响应部分</w:t>
      </w:r>
    </w:p>
    <w:p w14:paraId="4669EF2E">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供应商按照采购文件要求做出的服务应答，主要是针对采购项目的服务要求、商务要求、质量保证等做出的实质性响应和满足。供应商的服务响应包括但不限于下列内容：</w:t>
      </w:r>
    </w:p>
    <w:p w14:paraId="33EAC7EC">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default" w:ascii="仿宋" w:hAnsi="仿宋" w:eastAsia="仿宋" w:cs="仿宋"/>
          <w:color w:val="auto"/>
          <w:kern w:val="2"/>
          <w:sz w:val="21"/>
          <w:szCs w:val="21"/>
          <w:highlight w:val="none"/>
          <w:lang w:val="en-US" w:eastAsia="zh-CN" w:bidi="ar-SA"/>
        </w:rPr>
        <w:t>(1)</w:t>
      </w:r>
      <w:r>
        <w:rPr>
          <w:rFonts w:hint="eastAsia" w:ascii="仿宋" w:hAnsi="仿宋" w:eastAsia="仿宋" w:cs="仿宋"/>
          <w:color w:val="auto"/>
          <w:szCs w:val="21"/>
          <w:highlight w:val="none"/>
          <w:lang w:val="en-US" w:eastAsia="zh-CN"/>
        </w:rPr>
        <w:t>服务应答表</w:t>
      </w:r>
      <w:r>
        <w:rPr>
          <w:rFonts w:hint="eastAsia" w:ascii="仿宋" w:hAnsi="仿宋" w:eastAsia="仿宋" w:cs="仿宋"/>
          <w:b/>
          <w:bCs/>
          <w:color w:val="auto"/>
          <w:szCs w:val="21"/>
          <w:highlight w:val="none"/>
          <w:lang w:eastAsia="zh-CN"/>
        </w:rPr>
        <w:t>（实质性要求）</w:t>
      </w:r>
      <w:r>
        <w:rPr>
          <w:rFonts w:hint="eastAsia" w:ascii="仿宋" w:hAnsi="仿宋" w:eastAsia="仿宋" w:cs="仿宋"/>
          <w:color w:val="auto"/>
          <w:szCs w:val="21"/>
          <w:highlight w:val="none"/>
          <w:lang w:val="en-US" w:eastAsia="zh-CN"/>
        </w:rPr>
        <w:t>；</w:t>
      </w:r>
    </w:p>
    <w:p w14:paraId="5AAAF94A">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default" w:ascii="仿宋" w:hAnsi="仿宋" w:eastAsia="仿宋" w:cs="仿宋"/>
          <w:color w:val="auto"/>
          <w:kern w:val="2"/>
          <w:sz w:val="21"/>
          <w:szCs w:val="21"/>
          <w:highlight w:val="none"/>
          <w:lang w:val="en-US" w:eastAsia="zh-CN" w:bidi="ar-SA"/>
        </w:rPr>
        <w:t>(2)</w:t>
      </w:r>
      <w:r>
        <w:rPr>
          <w:rFonts w:hint="eastAsia" w:ascii="仿宋" w:hAnsi="仿宋" w:eastAsia="仿宋" w:cs="仿宋"/>
          <w:color w:val="auto"/>
          <w:szCs w:val="21"/>
          <w:highlight w:val="none"/>
          <w:lang w:val="en-US" w:eastAsia="zh-CN"/>
        </w:rPr>
        <w:t>商务应答表</w:t>
      </w:r>
      <w:r>
        <w:rPr>
          <w:rFonts w:hint="eastAsia" w:ascii="仿宋" w:hAnsi="仿宋" w:eastAsia="仿宋" w:cs="仿宋"/>
          <w:b/>
          <w:bCs/>
          <w:color w:val="auto"/>
          <w:szCs w:val="21"/>
          <w:highlight w:val="none"/>
          <w:lang w:eastAsia="zh-CN"/>
        </w:rPr>
        <w:t>（实质性要求）</w:t>
      </w:r>
      <w:r>
        <w:rPr>
          <w:rFonts w:hint="eastAsia" w:ascii="仿宋" w:hAnsi="仿宋" w:eastAsia="仿宋" w:cs="仿宋"/>
          <w:color w:val="auto"/>
          <w:szCs w:val="21"/>
          <w:highlight w:val="none"/>
          <w:lang w:val="en-US" w:eastAsia="zh-CN"/>
        </w:rPr>
        <w:t>；</w:t>
      </w:r>
    </w:p>
    <w:p w14:paraId="5CADA412">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default" w:ascii="仿宋" w:hAnsi="仿宋" w:eastAsia="仿宋" w:cs="仿宋"/>
          <w:color w:val="auto"/>
          <w:kern w:val="2"/>
          <w:sz w:val="21"/>
          <w:szCs w:val="21"/>
          <w:highlight w:val="none"/>
          <w:lang w:val="en-US" w:eastAsia="zh-CN" w:bidi="ar-SA"/>
        </w:rPr>
        <w:t>(3)</w:t>
      </w:r>
      <w:r>
        <w:rPr>
          <w:rFonts w:hint="eastAsia" w:ascii="仿宋" w:hAnsi="仿宋" w:eastAsia="仿宋" w:cs="仿宋"/>
          <w:color w:val="auto"/>
          <w:szCs w:val="21"/>
          <w:highlight w:val="none"/>
          <w:lang w:val="en-US" w:eastAsia="zh-CN"/>
        </w:rPr>
        <w:t>拟派入本项目的主要实施人员情况表；</w:t>
      </w:r>
    </w:p>
    <w:p w14:paraId="137407E1">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default" w:ascii="仿宋" w:hAnsi="仿宋" w:eastAsia="仿宋" w:cs="仿宋"/>
          <w:color w:val="auto"/>
          <w:kern w:val="2"/>
          <w:sz w:val="21"/>
          <w:szCs w:val="21"/>
          <w:highlight w:val="none"/>
          <w:lang w:val="en-US" w:eastAsia="zh-CN" w:bidi="ar-SA"/>
        </w:rPr>
        <w:t>(4)</w:t>
      </w:r>
      <w:r>
        <w:rPr>
          <w:rFonts w:hint="eastAsia" w:ascii="仿宋" w:hAnsi="仿宋" w:eastAsia="仿宋" w:cs="仿宋"/>
          <w:color w:val="auto"/>
          <w:szCs w:val="21"/>
          <w:highlight w:val="none"/>
          <w:lang w:val="en-US" w:eastAsia="zh-CN"/>
        </w:rPr>
        <w:t>项目服务方案；</w:t>
      </w:r>
    </w:p>
    <w:p w14:paraId="5233D650">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default" w:ascii="仿宋" w:hAnsi="仿宋" w:eastAsia="仿宋" w:cs="仿宋"/>
          <w:color w:val="auto"/>
          <w:kern w:val="2"/>
          <w:sz w:val="21"/>
          <w:szCs w:val="21"/>
          <w:highlight w:val="none"/>
          <w:lang w:val="en-US" w:eastAsia="zh-CN" w:bidi="ar-SA"/>
        </w:rPr>
        <w:t>(5)</w:t>
      </w:r>
      <w:r>
        <w:rPr>
          <w:rFonts w:hint="eastAsia" w:ascii="仿宋" w:hAnsi="仿宋" w:eastAsia="仿宋" w:cs="仿宋"/>
          <w:color w:val="auto"/>
          <w:szCs w:val="21"/>
          <w:highlight w:val="none"/>
          <w:lang w:val="en-US" w:eastAsia="zh-CN"/>
        </w:rPr>
        <w:t>其他有利于采购人或者供应商认为需要提供的文件和资料。</w:t>
      </w:r>
    </w:p>
    <w:p w14:paraId="228D38F6">
      <w:pPr>
        <w:pStyle w:val="54"/>
        <w:pageBreakBefore w:val="0"/>
        <w:widowControl w:val="0"/>
        <w:numPr>
          <w:ilvl w:val="2"/>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kern w:val="2"/>
          <w:sz w:val="21"/>
          <w:szCs w:val="21"/>
          <w:highlight w:val="none"/>
          <w:lang w:val="en-US" w:eastAsia="zh-CN" w:bidi="ar-SA"/>
        </w:rPr>
        <w:t>10.2.3.</w:t>
      </w:r>
      <w:r>
        <w:rPr>
          <w:rFonts w:hint="eastAsia" w:ascii="仿宋" w:hAnsi="仿宋" w:eastAsia="仿宋" w:cs="仿宋"/>
          <w:color w:val="auto"/>
          <w:szCs w:val="21"/>
          <w:highlight w:val="none"/>
          <w:lang w:val="en-US" w:eastAsia="zh-CN"/>
        </w:rPr>
        <w:t>报价部分，包括以下内容：</w:t>
      </w:r>
    </w:p>
    <w:p w14:paraId="33540F45">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供应商按照竞争性谈判文件要求填写“报价一览表”第一轮报价，第一轮（首轮）报价需装订入其他响应文件中，另请供应商自备2份空白的签字盖章的“报价一览表”表格，以备谈判现场需两轮及以上报价时提交给谈判小组。</w:t>
      </w:r>
    </w:p>
    <w:p w14:paraId="14ECD99B">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kern w:val="2"/>
          <w:sz w:val="21"/>
          <w:szCs w:val="21"/>
          <w:highlight w:val="none"/>
          <w:lang w:val="en-US" w:eastAsia="zh-CN" w:bidi="ar-SA"/>
        </w:rPr>
        <w:t>10.3.</w:t>
      </w:r>
      <w:r>
        <w:rPr>
          <w:rFonts w:hint="eastAsia" w:ascii="仿宋" w:hAnsi="仿宋" w:eastAsia="仿宋" w:cs="仿宋"/>
          <w:color w:val="auto"/>
          <w:szCs w:val="21"/>
          <w:highlight w:val="none"/>
          <w:lang w:val="en-US" w:eastAsia="zh-CN"/>
        </w:rPr>
        <w:t>最终报价响应文件</w:t>
      </w:r>
    </w:p>
    <w:p w14:paraId="7A1CFDCF">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留空白的“最终报价表”，以供为现场最终报价使用。</w:t>
      </w:r>
    </w:p>
    <w:p w14:paraId="4C770485">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最终报价为谈判结束后，由供应商填写“最终报价表”，并自行准备密封袋，以备评审现场根据要求填写后密封提交。经供应商法定代表人或代理人签字后密封递交给代理机构工作人员。由其收集齐后集中递交谈判小组。</w:t>
      </w:r>
    </w:p>
    <w:p w14:paraId="4675DCBA">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本项目报价要求</w:t>
      </w:r>
      <w:r>
        <w:rPr>
          <w:rFonts w:hint="eastAsia" w:ascii="仿宋" w:hAnsi="仿宋" w:eastAsia="仿宋" w:cs="仿宋"/>
          <w:b/>
          <w:bCs/>
          <w:color w:val="auto"/>
          <w:szCs w:val="21"/>
          <w:highlight w:val="none"/>
          <w:lang w:val="en-US" w:eastAsia="zh-CN"/>
        </w:rPr>
        <w:t>（实质性要求）</w:t>
      </w:r>
      <w:r>
        <w:rPr>
          <w:rFonts w:hint="eastAsia" w:ascii="仿宋" w:hAnsi="仿宋" w:eastAsia="仿宋" w:cs="仿宋"/>
          <w:color w:val="auto"/>
          <w:szCs w:val="21"/>
          <w:highlight w:val="none"/>
          <w:lang w:val="en-US" w:eastAsia="zh-CN"/>
        </w:rPr>
        <w:t>：</w:t>
      </w:r>
    </w:p>
    <w:p w14:paraId="6CA26C95">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default" w:ascii="仿宋" w:hAnsi="仿宋" w:eastAsia="仿宋" w:cs="仿宋"/>
          <w:color w:val="auto"/>
          <w:kern w:val="2"/>
          <w:sz w:val="21"/>
          <w:szCs w:val="21"/>
          <w:highlight w:val="none"/>
          <w:lang w:val="en-US" w:eastAsia="zh-CN" w:bidi="ar-SA"/>
        </w:rPr>
        <w:t>(1)</w:t>
      </w:r>
      <w:r>
        <w:rPr>
          <w:rFonts w:hint="eastAsia" w:ascii="仿宋" w:hAnsi="仿宋" w:eastAsia="仿宋" w:cs="仿宋"/>
          <w:color w:val="auto"/>
          <w:szCs w:val="21"/>
          <w:highlight w:val="none"/>
          <w:lang w:val="en-US" w:eastAsia="zh-CN"/>
        </w:rPr>
        <w:t>供应商的报价是供应商响应本项目要求的全部工作内容的价格体现，包括供应商完成本项目所需的一切费用。</w:t>
      </w:r>
    </w:p>
    <w:p w14:paraId="0C8C37DE">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default" w:ascii="仿宋" w:hAnsi="仿宋" w:eastAsia="仿宋" w:cs="仿宋"/>
          <w:color w:val="auto"/>
          <w:kern w:val="2"/>
          <w:sz w:val="21"/>
          <w:szCs w:val="21"/>
          <w:highlight w:val="none"/>
          <w:lang w:val="en-US" w:eastAsia="zh-CN" w:bidi="ar-SA"/>
        </w:rPr>
        <w:t>(2)</w:t>
      </w:r>
      <w:r>
        <w:rPr>
          <w:rFonts w:hint="eastAsia" w:ascii="仿宋" w:hAnsi="仿宋" w:eastAsia="仿宋" w:cs="仿宋"/>
          <w:color w:val="auto"/>
          <w:szCs w:val="21"/>
          <w:highlight w:val="none"/>
          <w:lang w:val="en-US" w:eastAsia="zh-CN"/>
        </w:rPr>
        <w:t>供应商每种响应货物的最终报价只允许有一个报价，并且在合同履行过程中是固定不变的（但是，按采购文件有关规定，属于评审委允许澄清、修正的情形除外），任何有选择或可调整的报价将不予接受，并按无效响应处理。</w:t>
      </w:r>
    </w:p>
    <w:p w14:paraId="164FF624">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default" w:ascii="仿宋" w:hAnsi="仿宋" w:eastAsia="仿宋" w:cs="仿宋"/>
          <w:color w:val="auto"/>
          <w:kern w:val="2"/>
          <w:sz w:val="21"/>
          <w:szCs w:val="21"/>
          <w:highlight w:val="none"/>
          <w:lang w:val="en-US" w:eastAsia="zh-CN" w:bidi="ar-SA"/>
        </w:rPr>
        <w:t>(3)</w:t>
      </w:r>
      <w:r>
        <w:rPr>
          <w:rFonts w:hint="eastAsia" w:ascii="仿宋" w:hAnsi="仿宋" w:eastAsia="仿宋" w:cs="仿宋"/>
          <w:color w:val="auto"/>
          <w:szCs w:val="21"/>
          <w:highlight w:val="none"/>
          <w:lang w:val="en-US" w:eastAsia="zh-CN"/>
        </w:rPr>
        <w:t>供应商不得以“赠予”或“0报价”方式进行谈判报价（包括项明细清单中子项目也不得以“赠予”或“0报价”方式报价），否则其报价文件（经济标）将被视为无效响应。</w:t>
      </w:r>
    </w:p>
    <w:p w14:paraId="478684DE">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default" w:ascii="仿宋" w:hAnsi="仿宋" w:eastAsia="仿宋" w:cs="仿宋"/>
          <w:color w:val="auto"/>
          <w:kern w:val="2"/>
          <w:sz w:val="21"/>
          <w:szCs w:val="21"/>
          <w:highlight w:val="none"/>
          <w:lang w:val="en-US" w:eastAsia="zh-CN" w:bidi="ar-SA"/>
        </w:rPr>
        <w:t>(4)</w:t>
      </w:r>
      <w:r>
        <w:rPr>
          <w:rFonts w:hint="eastAsia" w:ascii="仿宋" w:hAnsi="仿宋" w:eastAsia="仿宋" w:cs="仿宋"/>
          <w:color w:val="auto"/>
          <w:szCs w:val="21"/>
          <w:highlight w:val="none"/>
          <w:lang w:val="en-US" w:eastAsia="zh-CN"/>
        </w:rPr>
        <w:t>“最终报价表”填写的报价将作为本次采购唯一的最终报价依据。</w:t>
      </w:r>
    </w:p>
    <w:p w14:paraId="6E51167D">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kern w:val="2"/>
          <w:sz w:val="21"/>
          <w:szCs w:val="21"/>
          <w:highlight w:val="none"/>
          <w:lang w:val="en-US" w:eastAsia="zh-CN" w:bidi="ar-SA"/>
        </w:rPr>
        <w:t>10.4.</w:t>
      </w:r>
      <w:r>
        <w:rPr>
          <w:rFonts w:hint="eastAsia" w:ascii="仿宋" w:hAnsi="仿宋" w:eastAsia="仿宋" w:cs="仿宋"/>
          <w:color w:val="auto"/>
          <w:szCs w:val="21"/>
          <w:highlight w:val="none"/>
          <w:lang w:val="en-US" w:eastAsia="zh-CN"/>
        </w:rPr>
        <w:t>电子文档</w:t>
      </w:r>
    </w:p>
    <w:p w14:paraId="1470498A">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响应文件电子文档应当包含资格性响应文件和其他响应文件两部分。</w:t>
      </w:r>
    </w:p>
    <w:p w14:paraId="3161C51B">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2" w:firstLineChars="200"/>
        <w:textAlignment w:val="auto"/>
        <w:rPr>
          <w:rFonts w:hint="eastAsia" w:ascii="仿宋" w:hAnsi="仿宋" w:eastAsia="仿宋" w:cs="仿宋"/>
          <w:b/>
          <w:color w:val="auto"/>
          <w:szCs w:val="21"/>
          <w:highlight w:val="none"/>
          <w:lang w:val="en-US" w:eastAsia="zh-CN"/>
        </w:rPr>
      </w:pPr>
      <w:r>
        <w:rPr>
          <w:rFonts w:hint="eastAsia" w:ascii="仿宋" w:hAnsi="仿宋" w:eastAsia="仿宋" w:cs="仿宋"/>
          <w:b/>
          <w:color w:val="auto"/>
          <w:kern w:val="2"/>
          <w:sz w:val="21"/>
          <w:szCs w:val="21"/>
          <w:highlight w:val="none"/>
          <w:lang w:val="en-US" w:eastAsia="zh-CN" w:bidi="ar-SA"/>
        </w:rPr>
        <w:t>11.</w:t>
      </w:r>
      <w:r>
        <w:rPr>
          <w:rFonts w:hint="eastAsia" w:ascii="仿宋" w:hAnsi="仿宋" w:eastAsia="仿宋" w:cs="仿宋"/>
          <w:b/>
          <w:color w:val="auto"/>
          <w:szCs w:val="21"/>
          <w:highlight w:val="none"/>
          <w:lang w:val="en-US" w:eastAsia="zh-CN"/>
        </w:rPr>
        <w:t>响应文件的印制及签署</w:t>
      </w:r>
    </w:p>
    <w:p w14:paraId="08E76DD8">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kern w:val="2"/>
          <w:sz w:val="21"/>
          <w:szCs w:val="21"/>
          <w:highlight w:val="none"/>
          <w:lang w:val="en-US" w:eastAsia="zh-CN" w:bidi="ar-SA"/>
        </w:rPr>
        <w:t>11.1.</w:t>
      </w:r>
      <w:r>
        <w:rPr>
          <w:rFonts w:hint="eastAsia" w:ascii="仿宋" w:hAnsi="仿宋" w:eastAsia="仿宋" w:cs="仿宋"/>
          <w:color w:val="auto"/>
          <w:szCs w:val="21"/>
          <w:highlight w:val="none"/>
          <w:lang w:val="en-US" w:eastAsia="zh-CN"/>
        </w:rPr>
        <w:t>资格性响应文件正本1份、副本2份，并在其封面上清楚地标明资格性响应文件、采购项目名称、采购项目编号、包件号及名称（若有）、供应商名称以及“正本”或“副本”字样。若正本和副本有不一致的内容，以正本书面响应文件为准。</w:t>
      </w:r>
    </w:p>
    <w:p w14:paraId="01064C57">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kern w:val="2"/>
          <w:sz w:val="21"/>
          <w:szCs w:val="21"/>
          <w:highlight w:val="none"/>
          <w:lang w:val="en-US" w:eastAsia="zh-CN" w:bidi="ar-SA"/>
        </w:rPr>
        <w:t>11.2.</w:t>
      </w:r>
      <w:r>
        <w:rPr>
          <w:rFonts w:hint="eastAsia" w:ascii="仿宋" w:hAnsi="仿宋" w:eastAsia="仿宋" w:cs="仿宋"/>
          <w:color w:val="auto"/>
          <w:szCs w:val="21"/>
          <w:highlight w:val="none"/>
          <w:lang w:val="en-US" w:eastAsia="zh-CN"/>
        </w:rPr>
        <w:t>其他响应文件正本1份、副本2份，并在其封面上清楚地标明其他响应文件、采购项目名称、采购项目编号、包件号及名称（若有）、供应商名称以及“正本”或“副本”字样。若正本和副本有不一致的内容，以正本书面响应文件为准。</w:t>
      </w:r>
    </w:p>
    <w:p w14:paraId="4397B6FC">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kern w:val="2"/>
          <w:sz w:val="21"/>
          <w:szCs w:val="21"/>
          <w:highlight w:val="none"/>
          <w:lang w:val="en-US" w:eastAsia="zh-CN" w:bidi="ar-SA"/>
        </w:rPr>
        <w:t>11.3.</w:t>
      </w:r>
      <w:r>
        <w:rPr>
          <w:rFonts w:hint="eastAsia" w:ascii="仿宋" w:hAnsi="仿宋" w:eastAsia="仿宋" w:cs="仿宋"/>
          <w:color w:val="auto"/>
          <w:szCs w:val="21"/>
          <w:highlight w:val="none"/>
          <w:lang w:val="en-US" w:eastAsia="zh-CN"/>
        </w:rPr>
        <w:t>响应文件电子文档在其封面上清楚地标明采购项目名称、采购项目编号、包件号及名称（若有）、供应商名称。</w:t>
      </w:r>
    </w:p>
    <w:p w14:paraId="3D17A5A8">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kern w:val="2"/>
          <w:sz w:val="21"/>
          <w:szCs w:val="21"/>
          <w:highlight w:val="none"/>
          <w:lang w:val="en-US" w:eastAsia="zh-CN" w:bidi="ar-SA"/>
        </w:rPr>
        <w:t>11.4.</w:t>
      </w:r>
      <w:r>
        <w:rPr>
          <w:rFonts w:hint="eastAsia" w:ascii="仿宋" w:hAnsi="仿宋" w:eastAsia="仿宋" w:cs="仿宋"/>
          <w:color w:val="auto"/>
          <w:szCs w:val="21"/>
          <w:highlight w:val="none"/>
          <w:lang w:val="en-US" w:eastAsia="zh-CN"/>
        </w:rPr>
        <w:t>若正本与副本内容出现差异时，则以正本为准；但是以下情形除外：</w:t>
      </w:r>
    </w:p>
    <w:p w14:paraId="12CB9991">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default" w:ascii="仿宋" w:hAnsi="仿宋" w:eastAsia="仿宋" w:cs="仿宋"/>
          <w:color w:val="auto"/>
          <w:kern w:val="2"/>
          <w:sz w:val="21"/>
          <w:szCs w:val="21"/>
          <w:highlight w:val="none"/>
          <w:lang w:val="en-US" w:eastAsia="zh-CN" w:bidi="ar-SA"/>
        </w:rPr>
        <w:t>(1)</w:t>
      </w:r>
      <w:r>
        <w:rPr>
          <w:rFonts w:hint="eastAsia" w:ascii="仿宋" w:hAnsi="仿宋" w:eastAsia="仿宋" w:cs="仿宋"/>
          <w:color w:val="auto"/>
          <w:szCs w:val="21"/>
          <w:highlight w:val="none"/>
          <w:lang w:val="en-US" w:eastAsia="zh-CN"/>
        </w:rPr>
        <w:t>当副本中与正本不一致的资料签字盖章内容完善完整，并以原件呈现，完全符合采购文件各项规定要求的；</w:t>
      </w:r>
    </w:p>
    <w:p w14:paraId="1936CC6D">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default" w:ascii="仿宋" w:hAnsi="仿宋" w:eastAsia="仿宋" w:cs="仿宋"/>
          <w:color w:val="auto"/>
          <w:kern w:val="2"/>
          <w:sz w:val="21"/>
          <w:szCs w:val="21"/>
          <w:highlight w:val="none"/>
          <w:lang w:val="en-US" w:eastAsia="zh-CN" w:bidi="ar-SA"/>
        </w:rPr>
        <w:t>(2)</w:t>
      </w:r>
      <w:r>
        <w:rPr>
          <w:rFonts w:hint="eastAsia" w:ascii="仿宋" w:hAnsi="仿宋" w:eastAsia="仿宋" w:cs="仿宋"/>
          <w:color w:val="auto"/>
          <w:szCs w:val="21"/>
          <w:highlight w:val="none"/>
          <w:lang w:val="en-US" w:eastAsia="zh-CN"/>
        </w:rPr>
        <w:t>经澄清程序，供应商现场确认的。副本可用正本的影印件。用于谈判单独提交的“报价一览表”应为原件。</w:t>
      </w:r>
    </w:p>
    <w:p w14:paraId="404F80A7">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kern w:val="2"/>
          <w:sz w:val="21"/>
          <w:szCs w:val="21"/>
          <w:highlight w:val="none"/>
          <w:lang w:val="en-US" w:eastAsia="zh-CN" w:bidi="ar-SA"/>
        </w:rPr>
        <w:t>11.5.</w:t>
      </w:r>
      <w:r>
        <w:rPr>
          <w:rFonts w:hint="eastAsia" w:ascii="仿宋" w:hAnsi="仿宋" w:eastAsia="仿宋" w:cs="仿宋"/>
          <w:color w:val="auto"/>
          <w:szCs w:val="21"/>
          <w:highlight w:val="none"/>
          <w:lang w:val="en-US" w:eastAsia="zh-CN"/>
        </w:rPr>
        <w:t>响应文件正本和副本应当采取胶装方式装订成册，不得散装或者合页装订。响应文件的打印和书写应当清楚工整，不得出现字迹潦草、表达不清等可能导致非唯一理解的情形。任何修改、行间插字、涂改或增删，必须由供应商的法定代表人或其授权代表签字或盖个人印鉴。</w:t>
      </w:r>
    </w:p>
    <w:p w14:paraId="78F4D163">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kern w:val="2"/>
          <w:sz w:val="21"/>
          <w:szCs w:val="21"/>
          <w:highlight w:val="none"/>
          <w:lang w:val="en-US" w:eastAsia="zh-CN" w:bidi="ar-SA"/>
        </w:rPr>
        <w:t>11.6.</w:t>
      </w:r>
      <w:r>
        <w:rPr>
          <w:rFonts w:hint="eastAsia" w:ascii="仿宋" w:hAnsi="仿宋" w:eastAsia="仿宋" w:cs="仿宋"/>
          <w:color w:val="auto"/>
          <w:szCs w:val="21"/>
          <w:highlight w:val="none"/>
          <w:lang w:val="en-US" w:eastAsia="zh-CN"/>
        </w:rPr>
        <w:t>响应文件正本必须使用不褪色、不变质的墨水书写或打印，并逐页加盖供应商单位鲜章（在规定签章处逐一签字和盖章，其投标单位盖章应为鲜章），签署、盖章和内容应完整、有效。</w:t>
      </w:r>
    </w:p>
    <w:p w14:paraId="684F5766">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kern w:val="2"/>
          <w:sz w:val="21"/>
          <w:szCs w:val="21"/>
          <w:highlight w:val="none"/>
          <w:lang w:val="en-US" w:eastAsia="zh-CN" w:bidi="ar-SA"/>
        </w:rPr>
        <w:t>11.7.</w:t>
      </w:r>
      <w:r>
        <w:rPr>
          <w:rFonts w:hint="eastAsia" w:ascii="仿宋" w:hAnsi="仿宋" w:eastAsia="仿宋" w:cs="仿宋"/>
          <w:color w:val="auto"/>
          <w:szCs w:val="21"/>
          <w:highlight w:val="none"/>
          <w:lang w:val="en-US" w:eastAsia="zh-CN"/>
        </w:rPr>
        <w:t>响应文件应统一使用A4幅面纸印制，逐页编目编码以方便评审专家查阅。</w:t>
      </w:r>
    </w:p>
    <w:p w14:paraId="50649108">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kern w:val="2"/>
          <w:sz w:val="21"/>
          <w:szCs w:val="21"/>
          <w:highlight w:val="none"/>
          <w:lang w:val="en-US" w:eastAsia="zh-CN" w:bidi="ar-SA"/>
        </w:rPr>
        <w:t>11.8.</w:t>
      </w:r>
      <w:r>
        <w:rPr>
          <w:rFonts w:hint="eastAsia" w:ascii="仿宋" w:hAnsi="仿宋" w:eastAsia="仿宋" w:cs="仿宋"/>
          <w:color w:val="auto"/>
          <w:szCs w:val="21"/>
          <w:highlight w:val="none"/>
          <w:lang w:val="en-US" w:eastAsia="zh-CN"/>
        </w:rPr>
        <w:t>响应文件电子文档须包含资格性响应文件和其他响应文件两部分，并制作为PDF格式文件，并拷贝到空白U盘中，U盘表面应标注供应商名称；供应商递交的电子文档与纸质版正本不得出现实质性不一致（如内容不齐全、模糊不清等）的任何情形。</w:t>
      </w:r>
    </w:p>
    <w:p w14:paraId="21081A92">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kern w:val="2"/>
          <w:sz w:val="21"/>
          <w:szCs w:val="21"/>
          <w:highlight w:val="none"/>
          <w:lang w:val="en-US" w:eastAsia="zh-CN" w:bidi="ar-SA"/>
        </w:rPr>
        <w:t>11.9.</w:t>
      </w:r>
      <w:r>
        <w:rPr>
          <w:rFonts w:hint="eastAsia" w:ascii="仿宋" w:hAnsi="仿宋" w:eastAsia="仿宋" w:cs="仿宋"/>
          <w:color w:val="auto"/>
          <w:szCs w:val="21"/>
          <w:highlight w:val="none"/>
          <w:lang w:val="en-US" w:eastAsia="zh-CN"/>
        </w:rPr>
        <w:t>响应文件电子文档制作的参考方法：响应文件纸质版正本按照竞争性谈判文件要求制作完毕后（签字盖章完毕并检查无误），先按页码逐页（包括封面）进行彩色扫描，扫描完成后再将纸质版正本胶装成册，扫描形成的图像文件依序制作成一个PDF格式文件。</w:t>
      </w:r>
    </w:p>
    <w:p w14:paraId="2951B66C">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2" w:firstLineChars="200"/>
        <w:textAlignment w:val="auto"/>
        <w:rPr>
          <w:rFonts w:hint="eastAsia" w:ascii="仿宋" w:hAnsi="仿宋" w:eastAsia="仿宋" w:cs="仿宋"/>
          <w:b/>
          <w:color w:val="auto"/>
          <w:szCs w:val="21"/>
          <w:highlight w:val="none"/>
          <w:lang w:val="en-US" w:eastAsia="zh-CN"/>
        </w:rPr>
      </w:pPr>
      <w:r>
        <w:rPr>
          <w:rFonts w:hint="eastAsia" w:ascii="仿宋" w:hAnsi="仿宋" w:eastAsia="仿宋" w:cs="仿宋"/>
          <w:b/>
          <w:color w:val="auto"/>
          <w:kern w:val="2"/>
          <w:sz w:val="21"/>
          <w:szCs w:val="21"/>
          <w:highlight w:val="none"/>
          <w:lang w:val="en-US" w:eastAsia="zh-CN" w:bidi="ar-SA"/>
        </w:rPr>
        <w:t>12.</w:t>
      </w:r>
      <w:r>
        <w:rPr>
          <w:rFonts w:hint="eastAsia" w:ascii="仿宋" w:hAnsi="仿宋" w:eastAsia="仿宋" w:cs="仿宋"/>
          <w:b/>
          <w:color w:val="auto"/>
          <w:szCs w:val="21"/>
          <w:highlight w:val="none"/>
          <w:lang w:val="en-US" w:eastAsia="zh-CN"/>
        </w:rPr>
        <w:t>响应文件的密封和标注</w:t>
      </w:r>
    </w:p>
    <w:p w14:paraId="65CDDDA5">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kern w:val="2"/>
          <w:sz w:val="21"/>
          <w:szCs w:val="21"/>
          <w:highlight w:val="none"/>
          <w:lang w:val="en-US" w:eastAsia="zh-CN" w:bidi="ar-SA"/>
        </w:rPr>
        <w:t>12.1.</w:t>
      </w:r>
      <w:r>
        <w:rPr>
          <w:rFonts w:hint="eastAsia" w:ascii="仿宋" w:hAnsi="仿宋" w:eastAsia="仿宋" w:cs="仿宋"/>
          <w:color w:val="auto"/>
          <w:szCs w:val="21"/>
          <w:highlight w:val="none"/>
          <w:lang w:val="en-US" w:eastAsia="zh-CN"/>
        </w:rPr>
        <w:t>谈判供应商应将其资格性响应文件、其他响应文件、最终报价响应文件、响应文件电子文档分别用密封袋密封，并在封口处加盖单位公章；如有分包,各包响应文件应按前述要求分别单独封装，并注明分包号；若不满足以上要求，采购代理机构将有可能拒收其响应文件。</w:t>
      </w:r>
    </w:p>
    <w:p w14:paraId="718E7978">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kern w:val="2"/>
          <w:sz w:val="21"/>
          <w:szCs w:val="21"/>
          <w:highlight w:val="none"/>
          <w:lang w:val="en-US" w:eastAsia="zh-CN" w:bidi="ar-SA"/>
        </w:rPr>
        <w:t>12.2.</w:t>
      </w:r>
      <w:r>
        <w:rPr>
          <w:rFonts w:hint="eastAsia" w:ascii="仿宋" w:hAnsi="仿宋" w:eastAsia="仿宋" w:cs="仿宋"/>
          <w:color w:val="auto"/>
          <w:szCs w:val="21"/>
          <w:highlight w:val="none"/>
          <w:lang w:val="en-US" w:eastAsia="zh-CN"/>
        </w:rPr>
        <w:t>在密封袋封面上注明项目名称、编号、供应商名称、包件号（如有分包)及“资格性响应文件”“其他响应文件”“最终报价响应文件”“电子文档”字样。</w:t>
      </w:r>
    </w:p>
    <w:p w14:paraId="6D1C8BF8">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kern w:val="2"/>
          <w:sz w:val="21"/>
          <w:szCs w:val="21"/>
          <w:highlight w:val="none"/>
          <w:lang w:val="en-US" w:eastAsia="zh-CN" w:bidi="ar-SA"/>
        </w:rPr>
        <w:t>12.3.</w:t>
      </w:r>
      <w:r>
        <w:rPr>
          <w:rFonts w:hint="eastAsia" w:ascii="仿宋" w:hAnsi="仿宋" w:eastAsia="仿宋" w:cs="仿宋"/>
          <w:color w:val="auto"/>
          <w:szCs w:val="21"/>
          <w:highlight w:val="none"/>
          <w:lang w:val="en-US" w:eastAsia="zh-CN"/>
        </w:rPr>
        <w:t>每一密封件上应注明“于   年   月   日时分之前不准启封”字样（最终报价响应文件除外）；</w:t>
      </w:r>
    </w:p>
    <w:p w14:paraId="67FA7FC8">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kern w:val="2"/>
          <w:sz w:val="21"/>
          <w:szCs w:val="21"/>
          <w:highlight w:val="none"/>
          <w:lang w:val="en-US" w:eastAsia="zh-CN" w:bidi="ar-SA"/>
        </w:rPr>
        <w:t>12.4.</w:t>
      </w:r>
      <w:r>
        <w:rPr>
          <w:rFonts w:hint="eastAsia" w:ascii="仿宋" w:hAnsi="仿宋" w:eastAsia="仿宋" w:cs="仿宋"/>
          <w:color w:val="auto"/>
          <w:szCs w:val="21"/>
          <w:highlight w:val="none"/>
          <w:lang w:val="en-US" w:eastAsia="zh-CN"/>
        </w:rPr>
        <w:t>如果未按前款规定密封和标记，采购代理机构对响应文件的误投或提前拆封不负责任。对由此造成提前开封的响应文件，采购代理机构将予以拒绝，并退回供应商。</w:t>
      </w:r>
    </w:p>
    <w:p w14:paraId="4E9588FE">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2" w:firstLineChars="200"/>
        <w:textAlignment w:val="auto"/>
        <w:rPr>
          <w:rFonts w:hint="eastAsia" w:ascii="仿宋" w:hAnsi="仿宋" w:eastAsia="仿宋" w:cs="仿宋"/>
          <w:b/>
          <w:color w:val="auto"/>
          <w:szCs w:val="21"/>
          <w:highlight w:val="none"/>
          <w:lang w:val="en-US" w:eastAsia="zh-CN"/>
        </w:rPr>
      </w:pPr>
      <w:r>
        <w:rPr>
          <w:rFonts w:hint="eastAsia" w:ascii="仿宋" w:hAnsi="仿宋" w:eastAsia="仿宋" w:cs="仿宋"/>
          <w:b/>
          <w:color w:val="auto"/>
          <w:kern w:val="2"/>
          <w:sz w:val="21"/>
          <w:szCs w:val="21"/>
          <w:highlight w:val="none"/>
          <w:lang w:val="en-US" w:eastAsia="zh-CN" w:bidi="ar-SA"/>
        </w:rPr>
        <w:t>13.</w:t>
      </w:r>
      <w:r>
        <w:rPr>
          <w:rFonts w:hint="eastAsia" w:ascii="仿宋" w:hAnsi="仿宋" w:eastAsia="仿宋" w:cs="仿宋"/>
          <w:b/>
          <w:color w:val="auto"/>
          <w:szCs w:val="21"/>
          <w:highlight w:val="none"/>
          <w:lang w:val="en-US" w:eastAsia="zh-CN"/>
        </w:rPr>
        <w:t>响应文件的递交</w:t>
      </w:r>
    </w:p>
    <w:p w14:paraId="6864CA66">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kern w:val="2"/>
          <w:sz w:val="21"/>
          <w:szCs w:val="21"/>
          <w:highlight w:val="none"/>
          <w:lang w:val="en-US" w:eastAsia="zh-CN" w:bidi="ar-SA"/>
        </w:rPr>
        <w:t>13.1.</w:t>
      </w:r>
      <w:r>
        <w:rPr>
          <w:rFonts w:hint="eastAsia" w:ascii="仿宋" w:hAnsi="仿宋" w:eastAsia="仿宋" w:cs="仿宋"/>
          <w:color w:val="auto"/>
          <w:szCs w:val="21"/>
          <w:highlight w:val="none"/>
          <w:lang w:val="en-US" w:eastAsia="zh-CN"/>
        </w:rPr>
        <w:t>供应商应在竞争性谈判文件规定的递交响应文件截止时间前，将响应文件按竞争性谈判文件的规定密封后送达递交响应文件地点。递交响应文件截止时间以后送达的响应文件将不予接收，采购单位将告知供应商不予接收的原因。</w:t>
      </w:r>
    </w:p>
    <w:p w14:paraId="4EE3B625">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kern w:val="2"/>
          <w:sz w:val="21"/>
          <w:szCs w:val="21"/>
          <w:highlight w:val="none"/>
          <w:lang w:val="en-US" w:eastAsia="zh-CN" w:bidi="ar-SA"/>
        </w:rPr>
        <w:t>13.2.</w:t>
      </w:r>
      <w:r>
        <w:rPr>
          <w:rFonts w:hint="eastAsia" w:ascii="仿宋" w:hAnsi="仿宋" w:eastAsia="仿宋" w:cs="仿宋"/>
          <w:color w:val="auto"/>
          <w:szCs w:val="21"/>
          <w:highlight w:val="none"/>
          <w:lang w:val="en-US" w:eastAsia="zh-CN"/>
        </w:rPr>
        <w:t>递交响应文件时，报名供应商名称和竞争性谈判文件的文号、分包号应当与供应商名称和响应文件的文号、分包号一致。但是，响应文件实质内容报名供应商名称和竞争性谈判文件的文号、分包号一致，只是封面文字错误的，可以在评审过程中当面予以澄清，以有效的澄清材料作为认定响应文件是否有效的依据。</w:t>
      </w:r>
    </w:p>
    <w:p w14:paraId="2B97E434">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kern w:val="2"/>
          <w:sz w:val="21"/>
          <w:szCs w:val="21"/>
          <w:highlight w:val="none"/>
          <w:lang w:val="en-US" w:eastAsia="zh-CN" w:bidi="ar-SA"/>
        </w:rPr>
        <w:t>13.3.</w:t>
      </w:r>
      <w:r>
        <w:rPr>
          <w:rFonts w:hint="eastAsia" w:ascii="仿宋" w:hAnsi="仿宋" w:eastAsia="仿宋" w:cs="仿宋"/>
          <w:color w:val="auto"/>
          <w:szCs w:val="21"/>
          <w:highlight w:val="none"/>
          <w:lang w:val="en-US" w:eastAsia="zh-CN"/>
        </w:rPr>
        <w:t>最终报价表在谈判后，由谈判小组要求供应商进行最后报价时，单独放在最终报价响应文件袋内密封后递交。</w:t>
      </w:r>
    </w:p>
    <w:p w14:paraId="08D80F78">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kern w:val="2"/>
          <w:sz w:val="21"/>
          <w:szCs w:val="21"/>
          <w:highlight w:val="none"/>
          <w:lang w:val="en-US" w:eastAsia="zh-CN" w:bidi="ar-SA"/>
        </w:rPr>
        <w:t>13.4.</w:t>
      </w:r>
      <w:r>
        <w:rPr>
          <w:rFonts w:hint="eastAsia" w:ascii="仿宋" w:hAnsi="仿宋" w:eastAsia="仿宋" w:cs="仿宋"/>
          <w:color w:val="auto"/>
          <w:szCs w:val="21"/>
          <w:highlight w:val="none"/>
          <w:lang w:val="en-US" w:eastAsia="zh-CN"/>
        </w:rPr>
        <w:t>本次采购不接收邮寄的响应文件。</w:t>
      </w:r>
    </w:p>
    <w:p w14:paraId="694A5295">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2" w:firstLineChars="200"/>
        <w:textAlignment w:val="auto"/>
        <w:rPr>
          <w:rFonts w:hint="eastAsia" w:ascii="仿宋" w:hAnsi="仿宋" w:eastAsia="仿宋" w:cs="仿宋"/>
          <w:b/>
          <w:color w:val="auto"/>
          <w:szCs w:val="21"/>
          <w:highlight w:val="none"/>
          <w:lang w:val="en-US" w:eastAsia="zh-CN"/>
        </w:rPr>
      </w:pPr>
      <w:r>
        <w:rPr>
          <w:rFonts w:hint="eastAsia" w:ascii="仿宋" w:hAnsi="仿宋" w:eastAsia="仿宋" w:cs="仿宋"/>
          <w:b/>
          <w:color w:val="auto"/>
          <w:kern w:val="2"/>
          <w:sz w:val="21"/>
          <w:szCs w:val="21"/>
          <w:highlight w:val="none"/>
          <w:lang w:val="en-US" w:eastAsia="zh-CN" w:bidi="ar-SA"/>
        </w:rPr>
        <w:t>14.</w:t>
      </w:r>
      <w:r>
        <w:rPr>
          <w:rFonts w:hint="eastAsia" w:ascii="仿宋" w:hAnsi="仿宋" w:eastAsia="仿宋" w:cs="仿宋"/>
          <w:b/>
          <w:color w:val="auto"/>
          <w:szCs w:val="21"/>
          <w:highlight w:val="none"/>
          <w:lang w:val="en-US" w:eastAsia="zh-CN"/>
        </w:rPr>
        <w:t>响应文件的修改和撤回</w:t>
      </w:r>
    </w:p>
    <w:p w14:paraId="4152B7F4">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kern w:val="2"/>
          <w:sz w:val="21"/>
          <w:szCs w:val="21"/>
          <w:highlight w:val="none"/>
          <w:lang w:val="en-US" w:eastAsia="zh-CN" w:bidi="ar-SA"/>
        </w:rPr>
        <w:t>14.1.</w:t>
      </w:r>
      <w:r>
        <w:rPr>
          <w:rFonts w:hint="eastAsia" w:ascii="仿宋" w:hAnsi="仿宋" w:eastAsia="仿宋" w:cs="仿宋"/>
          <w:color w:val="auto"/>
          <w:szCs w:val="21"/>
          <w:highlight w:val="none"/>
          <w:lang w:val="en-US" w:eastAsia="zh-CN"/>
        </w:rPr>
        <w:t>供应商在提交响应文件后可对其响应文件进行修改或撤销，但该修改或撤销的书面通知须在递交截止时间之前送达采购代理机构，补充、修改的内容作为响应文件的组成部分。该通知需经正式授权的供应商代表签字方为有效。供应商在提交响应文件截止时间前，可以对所提交的响应文件进行补充、修改或者撤回，补充、修改的内容与响应文件不一致的，以补充、修改的内容为准。</w:t>
      </w:r>
    </w:p>
    <w:p w14:paraId="5E89EAC4">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kern w:val="2"/>
          <w:sz w:val="21"/>
          <w:szCs w:val="21"/>
          <w:highlight w:val="none"/>
          <w:lang w:val="en-US" w:eastAsia="zh-CN" w:bidi="ar-SA"/>
        </w:rPr>
        <w:t>14.2.</w:t>
      </w:r>
      <w:r>
        <w:rPr>
          <w:rFonts w:hint="eastAsia" w:ascii="仿宋" w:hAnsi="仿宋" w:eastAsia="仿宋" w:cs="仿宋"/>
          <w:color w:val="auto"/>
          <w:szCs w:val="21"/>
          <w:highlight w:val="none"/>
          <w:lang w:val="en-US" w:eastAsia="zh-CN"/>
        </w:rPr>
        <w:t>供应商对响应文件修改的书面材料或撤销的通知应该按本章的规定进行编写、密封、标注和递送，并注明“修改”或“撤销”字样。</w:t>
      </w:r>
    </w:p>
    <w:p w14:paraId="472CFF7F">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kern w:val="2"/>
          <w:sz w:val="21"/>
          <w:szCs w:val="21"/>
          <w:highlight w:val="none"/>
          <w:lang w:val="en-US" w:eastAsia="zh-CN" w:bidi="ar-SA"/>
        </w:rPr>
        <w:t>14.3.</w:t>
      </w:r>
      <w:r>
        <w:rPr>
          <w:rFonts w:hint="eastAsia" w:ascii="仿宋" w:hAnsi="仿宋" w:eastAsia="仿宋" w:cs="仿宋"/>
          <w:color w:val="auto"/>
          <w:szCs w:val="21"/>
          <w:highlight w:val="none"/>
          <w:lang w:val="en-US" w:eastAsia="zh-CN"/>
        </w:rPr>
        <w:t>供应商不得在递交截止时间起至响应文件有效期期满前撤销其响应文件，否则将认定其响应文件有效期的承诺为虚假承诺，并依法追究其法律责任。</w:t>
      </w:r>
    </w:p>
    <w:p w14:paraId="2D5B230F">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kern w:val="2"/>
          <w:sz w:val="21"/>
          <w:szCs w:val="21"/>
          <w:highlight w:val="none"/>
          <w:lang w:val="en-US" w:eastAsia="zh-CN" w:bidi="ar-SA"/>
        </w:rPr>
        <w:t>14.4.</w:t>
      </w:r>
      <w:r>
        <w:rPr>
          <w:rFonts w:hint="eastAsia" w:ascii="仿宋" w:hAnsi="仿宋" w:eastAsia="仿宋" w:cs="仿宋"/>
          <w:color w:val="auto"/>
          <w:szCs w:val="21"/>
          <w:highlight w:val="none"/>
          <w:lang w:val="en-US" w:eastAsia="zh-CN"/>
        </w:rPr>
        <w:t>供应商对其提交的响应文件的真实性、合法性承担法律责任。</w:t>
      </w:r>
    </w:p>
    <w:p w14:paraId="7931075F">
      <w:pPr>
        <w:outlineLvl w:val="9"/>
        <w:rPr>
          <w:rFonts w:hint="eastAsia" w:ascii="仿宋" w:hAnsi="仿宋" w:eastAsia="仿宋" w:cs="仿宋"/>
          <w:b w:val="0"/>
          <w:bCs/>
          <w:color w:val="auto"/>
          <w:kern w:val="2"/>
          <w:sz w:val="28"/>
          <w:szCs w:val="28"/>
          <w:highlight w:val="none"/>
          <w:lang w:val="en-US" w:eastAsia="zh-CN" w:bidi="ar-SA"/>
        </w:rPr>
      </w:pPr>
    </w:p>
    <w:p w14:paraId="10D4A749">
      <w:pPr>
        <w:pStyle w:val="4"/>
        <w:pageBreakBefore w:val="0"/>
        <w:widowControl w:val="0"/>
        <w:numPr>
          <w:ilvl w:val="0"/>
          <w:numId w:val="0"/>
        </w:numPr>
        <w:kinsoku/>
        <w:wordWrap/>
        <w:overflowPunct/>
        <w:topLinePunct w:val="0"/>
        <w:autoSpaceDE/>
        <w:autoSpaceDN/>
        <w:bidi w:val="0"/>
        <w:adjustRightInd w:val="0"/>
        <w:snapToGrid w:val="0"/>
        <w:spacing w:before="0" w:after="0" w:line="360" w:lineRule="auto"/>
        <w:ind w:left="0" w:leftChars="0" w:firstLine="560" w:firstLineChars="200"/>
        <w:jc w:val="center"/>
        <w:textAlignment w:val="auto"/>
        <w:rPr>
          <w:rFonts w:hint="eastAsia" w:ascii="仿宋" w:hAnsi="仿宋" w:eastAsia="仿宋" w:cs="仿宋"/>
          <w:b w:val="0"/>
          <w:color w:val="auto"/>
          <w:sz w:val="28"/>
          <w:szCs w:val="28"/>
          <w:highlight w:val="none"/>
        </w:rPr>
      </w:pPr>
      <w:r>
        <w:rPr>
          <w:rFonts w:hint="eastAsia" w:ascii="仿宋" w:hAnsi="仿宋" w:eastAsia="仿宋" w:cs="仿宋"/>
          <w:b w:val="0"/>
          <w:bCs/>
          <w:color w:val="auto"/>
          <w:kern w:val="2"/>
          <w:sz w:val="28"/>
          <w:szCs w:val="28"/>
          <w:highlight w:val="none"/>
          <w:lang w:val="en-US" w:eastAsia="zh-CN" w:bidi="ar-SA"/>
        </w:rPr>
        <w:t>（五）</w:t>
      </w:r>
      <w:r>
        <w:rPr>
          <w:rFonts w:hint="eastAsia" w:ascii="仿宋" w:hAnsi="仿宋" w:eastAsia="仿宋" w:cs="仿宋"/>
          <w:b w:val="0"/>
          <w:color w:val="auto"/>
          <w:sz w:val="28"/>
          <w:szCs w:val="28"/>
          <w:highlight w:val="none"/>
        </w:rPr>
        <w:t>评审事项</w:t>
      </w:r>
    </w:p>
    <w:p w14:paraId="6389C0D1">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kern w:val="2"/>
          <w:sz w:val="21"/>
          <w:szCs w:val="21"/>
          <w:highlight w:val="none"/>
          <w:lang w:val="en-US" w:eastAsia="zh-CN" w:bidi="ar-SA"/>
        </w:rPr>
        <w:t>15.</w:t>
      </w:r>
      <w:r>
        <w:rPr>
          <w:rFonts w:hint="eastAsia" w:ascii="仿宋" w:hAnsi="仿宋" w:eastAsia="仿宋" w:cs="仿宋"/>
          <w:b/>
          <w:color w:val="auto"/>
          <w:szCs w:val="21"/>
          <w:highlight w:val="none"/>
        </w:rPr>
        <w:t>评审方式</w:t>
      </w:r>
    </w:p>
    <w:p w14:paraId="319C03BA">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15.1.</w:t>
      </w:r>
      <w:r>
        <w:rPr>
          <w:rFonts w:hint="eastAsia" w:ascii="仿宋" w:hAnsi="仿宋" w:eastAsia="仿宋" w:cs="仿宋"/>
          <w:color w:val="auto"/>
          <w:szCs w:val="21"/>
          <w:highlight w:val="none"/>
          <w:lang w:val="en-US" w:eastAsia="zh-CN"/>
        </w:rPr>
        <w:t>谈判小组的组建及其评审工作按照有关法律制度和本文件第八章内容规定进行。</w:t>
      </w:r>
    </w:p>
    <w:p w14:paraId="06B7CADB">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15.2.</w:t>
      </w:r>
      <w:r>
        <w:rPr>
          <w:rFonts w:hint="eastAsia" w:ascii="仿宋" w:hAnsi="仿宋" w:eastAsia="仿宋" w:cs="仿宋"/>
          <w:color w:val="auto"/>
          <w:szCs w:val="21"/>
          <w:highlight w:val="none"/>
        </w:rPr>
        <w:t>采购人委派的监督人员负责评审现场的监督工作。</w:t>
      </w:r>
    </w:p>
    <w:p w14:paraId="2ECB4FEC">
      <w:pPr>
        <w:outlineLvl w:val="9"/>
        <w:rPr>
          <w:rFonts w:hint="eastAsia" w:ascii="仿宋" w:hAnsi="仿宋" w:eastAsia="仿宋" w:cs="仿宋"/>
          <w:b w:val="0"/>
          <w:bCs/>
          <w:color w:val="auto"/>
          <w:kern w:val="2"/>
          <w:sz w:val="28"/>
          <w:szCs w:val="28"/>
          <w:highlight w:val="none"/>
          <w:lang w:val="en-US" w:eastAsia="zh-CN" w:bidi="ar-SA"/>
        </w:rPr>
      </w:pPr>
    </w:p>
    <w:p w14:paraId="5836D00D">
      <w:pPr>
        <w:pStyle w:val="4"/>
        <w:pageBreakBefore w:val="0"/>
        <w:widowControl w:val="0"/>
        <w:numPr>
          <w:ilvl w:val="0"/>
          <w:numId w:val="0"/>
        </w:numPr>
        <w:kinsoku/>
        <w:wordWrap/>
        <w:overflowPunct/>
        <w:topLinePunct w:val="0"/>
        <w:autoSpaceDE/>
        <w:autoSpaceDN/>
        <w:bidi w:val="0"/>
        <w:adjustRightInd w:val="0"/>
        <w:snapToGrid w:val="0"/>
        <w:spacing w:before="0" w:after="0" w:line="360" w:lineRule="auto"/>
        <w:ind w:left="0" w:leftChars="0" w:firstLine="560" w:firstLineChars="200"/>
        <w:jc w:val="center"/>
        <w:textAlignment w:val="auto"/>
        <w:rPr>
          <w:rFonts w:hint="eastAsia" w:ascii="仿宋" w:hAnsi="仿宋" w:eastAsia="仿宋" w:cs="仿宋"/>
          <w:b w:val="0"/>
          <w:color w:val="auto"/>
          <w:sz w:val="28"/>
          <w:szCs w:val="28"/>
          <w:highlight w:val="none"/>
        </w:rPr>
      </w:pPr>
      <w:r>
        <w:rPr>
          <w:rFonts w:hint="eastAsia" w:ascii="仿宋" w:hAnsi="仿宋" w:eastAsia="仿宋" w:cs="仿宋"/>
          <w:b w:val="0"/>
          <w:bCs/>
          <w:color w:val="auto"/>
          <w:kern w:val="2"/>
          <w:sz w:val="28"/>
          <w:szCs w:val="28"/>
          <w:highlight w:val="none"/>
          <w:lang w:val="en-US" w:eastAsia="zh-CN" w:bidi="ar-SA"/>
        </w:rPr>
        <w:t>（六）</w:t>
      </w:r>
      <w:r>
        <w:rPr>
          <w:rFonts w:hint="eastAsia" w:ascii="仿宋" w:hAnsi="仿宋" w:eastAsia="仿宋" w:cs="仿宋"/>
          <w:b w:val="0"/>
          <w:color w:val="auto"/>
          <w:sz w:val="28"/>
          <w:szCs w:val="28"/>
          <w:highlight w:val="none"/>
        </w:rPr>
        <w:t>成交事项</w:t>
      </w:r>
    </w:p>
    <w:p w14:paraId="128B18BB">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kern w:val="2"/>
          <w:sz w:val="21"/>
          <w:szCs w:val="21"/>
          <w:highlight w:val="none"/>
          <w:lang w:val="en-US" w:eastAsia="zh-CN" w:bidi="ar-SA"/>
        </w:rPr>
        <w:t>16.</w:t>
      </w:r>
      <w:r>
        <w:rPr>
          <w:rFonts w:hint="eastAsia" w:ascii="仿宋" w:hAnsi="仿宋" w:eastAsia="仿宋" w:cs="仿宋"/>
          <w:b/>
          <w:color w:val="auto"/>
          <w:szCs w:val="21"/>
          <w:highlight w:val="none"/>
        </w:rPr>
        <w:t>确定成交人</w:t>
      </w:r>
    </w:p>
    <w:p w14:paraId="4C867D6D">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16.1.</w:t>
      </w:r>
      <w:r>
        <w:rPr>
          <w:rFonts w:hint="eastAsia" w:ascii="仿宋" w:hAnsi="仿宋" w:eastAsia="仿宋" w:cs="仿宋"/>
          <w:color w:val="auto"/>
          <w:szCs w:val="21"/>
          <w:highlight w:val="none"/>
        </w:rPr>
        <w:t>本项目确定成交人的方式，以“须知前附表”为准。</w:t>
      </w:r>
    </w:p>
    <w:p w14:paraId="5FFF1048">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kern w:val="2"/>
          <w:sz w:val="21"/>
          <w:szCs w:val="21"/>
          <w:highlight w:val="none"/>
          <w:lang w:val="en-US" w:eastAsia="zh-CN" w:bidi="ar-SA"/>
        </w:rPr>
        <w:t>17.</w:t>
      </w:r>
      <w:r>
        <w:rPr>
          <w:rFonts w:hint="eastAsia" w:ascii="仿宋" w:hAnsi="仿宋" w:eastAsia="仿宋" w:cs="仿宋"/>
          <w:b/>
          <w:color w:val="auto"/>
          <w:szCs w:val="21"/>
          <w:highlight w:val="none"/>
        </w:rPr>
        <w:t>成交通知书</w:t>
      </w:r>
    </w:p>
    <w:p w14:paraId="1718A84E">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17.1.</w:t>
      </w:r>
      <w:r>
        <w:rPr>
          <w:rFonts w:hint="eastAsia" w:ascii="仿宋" w:hAnsi="仿宋" w:eastAsia="仿宋" w:cs="仿宋"/>
          <w:color w:val="auto"/>
          <w:szCs w:val="21"/>
          <w:highlight w:val="none"/>
          <w:lang w:val="en-US" w:eastAsia="zh-CN"/>
        </w:rPr>
        <w:t>成交通知书为签订采购合同的依据之一，是合同的有效组成部分。</w:t>
      </w:r>
    </w:p>
    <w:p w14:paraId="6908FC4E">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17.2.</w:t>
      </w:r>
      <w:r>
        <w:rPr>
          <w:rFonts w:hint="eastAsia" w:ascii="仿宋" w:hAnsi="仿宋" w:eastAsia="仿宋" w:cs="仿宋"/>
          <w:color w:val="auto"/>
          <w:szCs w:val="21"/>
          <w:highlight w:val="none"/>
          <w:lang w:val="en-US" w:eastAsia="zh-CN"/>
        </w:rPr>
        <w:t>成交通知书对采购人和成交供应商均具有法律效力。成交通知书发出后，采购人无正当理由改变成交结果，或者成交供应商无正当理由放弃成交的，将承担相应的法律责任。</w:t>
      </w:r>
    </w:p>
    <w:p w14:paraId="33DBFCE0">
      <w:pPr>
        <w:outlineLvl w:val="9"/>
        <w:rPr>
          <w:rFonts w:hint="eastAsia" w:ascii="仿宋" w:hAnsi="仿宋" w:eastAsia="仿宋" w:cs="仿宋"/>
          <w:b w:val="0"/>
          <w:bCs/>
          <w:color w:val="auto"/>
          <w:kern w:val="2"/>
          <w:sz w:val="28"/>
          <w:szCs w:val="28"/>
          <w:highlight w:val="none"/>
          <w:lang w:val="en-US" w:eastAsia="zh-CN" w:bidi="ar-SA"/>
        </w:rPr>
      </w:pPr>
    </w:p>
    <w:p w14:paraId="458A0D1E">
      <w:pPr>
        <w:pStyle w:val="4"/>
        <w:pageBreakBefore w:val="0"/>
        <w:widowControl w:val="0"/>
        <w:numPr>
          <w:ilvl w:val="0"/>
          <w:numId w:val="0"/>
        </w:numPr>
        <w:kinsoku/>
        <w:wordWrap/>
        <w:overflowPunct/>
        <w:topLinePunct w:val="0"/>
        <w:autoSpaceDE/>
        <w:autoSpaceDN/>
        <w:bidi w:val="0"/>
        <w:adjustRightInd w:val="0"/>
        <w:snapToGrid w:val="0"/>
        <w:spacing w:before="0" w:after="0" w:line="360" w:lineRule="auto"/>
        <w:ind w:left="0" w:leftChars="0" w:firstLine="560" w:firstLineChars="200"/>
        <w:jc w:val="center"/>
        <w:textAlignment w:val="auto"/>
        <w:rPr>
          <w:rFonts w:hint="eastAsia" w:ascii="仿宋" w:hAnsi="仿宋" w:eastAsia="仿宋" w:cs="仿宋"/>
          <w:b w:val="0"/>
          <w:color w:val="auto"/>
          <w:sz w:val="28"/>
          <w:szCs w:val="28"/>
          <w:highlight w:val="none"/>
        </w:rPr>
      </w:pPr>
      <w:r>
        <w:rPr>
          <w:rFonts w:hint="eastAsia" w:ascii="仿宋" w:hAnsi="仿宋" w:eastAsia="仿宋" w:cs="仿宋"/>
          <w:b w:val="0"/>
          <w:bCs/>
          <w:color w:val="auto"/>
          <w:kern w:val="2"/>
          <w:sz w:val="28"/>
          <w:szCs w:val="28"/>
          <w:highlight w:val="none"/>
          <w:lang w:val="en-US" w:eastAsia="zh-CN" w:bidi="ar-SA"/>
        </w:rPr>
        <w:t>（七）</w:t>
      </w:r>
      <w:r>
        <w:rPr>
          <w:rFonts w:hint="eastAsia" w:ascii="仿宋" w:hAnsi="仿宋" w:eastAsia="仿宋" w:cs="仿宋"/>
          <w:b w:val="0"/>
          <w:color w:val="auto"/>
          <w:sz w:val="28"/>
          <w:szCs w:val="28"/>
          <w:highlight w:val="none"/>
        </w:rPr>
        <w:t>合同事项</w:t>
      </w:r>
    </w:p>
    <w:p w14:paraId="71DAA55C">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kern w:val="2"/>
          <w:sz w:val="21"/>
          <w:szCs w:val="21"/>
          <w:highlight w:val="none"/>
          <w:lang w:val="en-US" w:eastAsia="zh-CN" w:bidi="ar-SA"/>
        </w:rPr>
        <w:t>18.</w:t>
      </w:r>
      <w:r>
        <w:rPr>
          <w:rFonts w:hint="eastAsia" w:ascii="仿宋" w:hAnsi="仿宋" w:eastAsia="仿宋" w:cs="仿宋"/>
          <w:b/>
          <w:color w:val="auto"/>
          <w:szCs w:val="21"/>
          <w:highlight w:val="none"/>
        </w:rPr>
        <w:t>签订合同</w:t>
      </w:r>
    </w:p>
    <w:p w14:paraId="2083CD2A">
      <w:pPr>
        <w:pStyle w:val="57"/>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kern w:val="2"/>
          <w:sz w:val="21"/>
          <w:szCs w:val="21"/>
          <w:highlight w:val="none"/>
          <w:lang w:val="en-US" w:eastAsia="zh-CN" w:bidi="ar-SA"/>
        </w:rPr>
        <w:t>18.1.</w:t>
      </w:r>
      <w:r>
        <w:rPr>
          <w:rFonts w:hint="eastAsia" w:ascii="仿宋" w:hAnsi="仿宋" w:eastAsia="仿宋" w:cs="仿宋"/>
          <w:color w:val="auto"/>
          <w:highlight w:val="none"/>
        </w:rPr>
        <w:t>除谈判文件另有规定外，成交人应在成交通知书发出之日起30日内与采购人签订采购合同。由于成交供应商的原因逾期未与采购人签订采购合同的，将视为拒绝与采购人签订采购合同，采购人将按相关规定进行处理；由于采购人的原因逾期未签订采购合同的，由采购人承担相应法律责任。</w:t>
      </w:r>
    </w:p>
    <w:p w14:paraId="62F9EDC9">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18.2.</w:t>
      </w:r>
      <w:r>
        <w:rPr>
          <w:rFonts w:hint="eastAsia" w:ascii="仿宋" w:hAnsi="仿宋" w:eastAsia="仿宋" w:cs="仿宋"/>
          <w:color w:val="auto"/>
          <w:highlight w:val="none"/>
        </w:rPr>
        <w:t>采购合同应当依据谈判文件、成交供应商的响应文件及双方确认的澄清文件等签订；采购人不得向成交供应商提出任何不合理的要求，作为签订合同的条件，不得与成交供应商私下订立背离合同实质性内容的任何协议。</w:t>
      </w:r>
    </w:p>
    <w:p w14:paraId="1074CF2F">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kern w:val="2"/>
          <w:sz w:val="21"/>
          <w:szCs w:val="21"/>
          <w:highlight w:val="none"/>
          <w:lang w:val="en-US" w:eastAsia="zh-CN" w:bidi="ar-SA"/>
        </w:rPr>
        <w:t>19.</w:t>
      </w:r>
      <w:r>
        <w:rPr>
          <w:rFonts w:hint="eastAsia" w:ascii="仿宋" w:hAnsi="仿宋" w:eastAsia="仿宋" w:cs="仿宋"/>
          <w:b/>
          <w:color w:val="auto"/>
          <w:szCs w:val="21"/>
          <w:highlight w:val="none"/>
        </w:rPr>
        <w:t>合同分包（实质性要求）</w:t>
      </w:r>
    </w:p>
    <w:p w14:paraId="6EE312DD">
      <w:pPr>
        <w:pStyle w:val="57"/>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kern w:val="2"/>
          <w:sz w:val="21"/>
          <w:szCs w:val="21"/>
          <w:highlight w:val="none"/>
          <w:lang w:val="en-US" w:eastAsia="zh-CN" w:bidi="ar-SA"/>
        </w:rPr>
        <w:t>19.1.</w:t>
      </w:r>
      <w:r>
        <w:rPr>
          <w:rFonts w:hint="eastAsia" w:ascii="仿宋" w:hAnsi="仿宋" w:eastAsia="仿宋" w:cs="仿宋"/>
          <w:color w:val="auto"/>
          <w:highlight w:val="none"/>
        </w:rPr>
        <w:t>除落实采购政策外，本项目合同接受分包与否，以“须知前附表”为准。</w:t>
      </w:r>
    </w:p>
    <w:p w14:paraId="19714CEF">
      <w:pPr>
        <w:pStyle w:val="57"/>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kern w:val="2"/>
          <w:sz w:val="21"/>
          <w:szCs w:val="21"/>
          <w:highlight w:val="none"/>
          <w:lang w:val="en-US" w:eastAsia="zh-CN" w:bidi="ar-SA"/>
        </w:rPr>
        <w:t>19.2.</w:t>
      </w:r>
      <w:r>
        <w:rPr>
          <w:rFonts w:hint="eastAsia" w:ascii="仿宋" w:hAnsi="仿宋" w:eastAsia="仿宋" w:cs="仿宋"/>
          <w:color w:val="auto"/>
          <w:highlight w:val="none"/>
        </w:rPr>
        <w:t>采购合同实行分包履行的，成交供应商就采购项目和分包项目向采购人负责，分包供应商就分包项目承担责任。履行分包项目事项应当具备法定资质规定要求的，分包供应商应当具备相应资质。</w:t>
      </w:r>
    </w:p>
    <w:p w14:paraId="2B647489">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kern w:val="2"/>
          <w:sz w:val="21"/>
          <w:szCs w:val="21"/>
          <w:highlight w:val="none"/>
          <w:lang w:val="en-US" w:eastAsia="zh-CN" w:bidi="ar-SA"/>
        </w:rPr>
        <w:t>20.</w:t>
      </w:r>
      <w:r>
        <w:rPr>
          <w:rFonts w:hint="eastAsia" w:ascii="仿宋" w:hAnsi="仿宋" w:eastAsia="仿宋" w:cs="仿宋"/>
          <w:b/>
          <w:color w:val="auto"/>
          <w:szCs w:val="21"/>
          <w:highlight w:val="none"/>
        </w:rPr>
        <w:t>合同转包（实质性要求）</w:t>
      </w:r>
    </w:p>
    <w:p w14:paraId="3AB87ED3">
      <w:pPr>
        <w:pStyle w:val="57"/>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kern w:val="2"/>
          <w:sz w:val="21"/>
          <w:szCs w:val="21"/>
          <w:highlight w:val="none"/>
          <w:lang w:val="en-US" w:eastAsia="zh-CN" w:bidi="ar-SA"/>
        </w:rPr>
        <w:t>20.1.</w:t>
      </w:r>
      <w:r>
        <w:rPr>
          <w:rFonts w:hint="eastAsia" w:ascii="仿宋" w:hAnsi="仿宋" w:eastAsia="仿宋" w:cs="仿宋"/>
          <w:color w:val="auto"/>
          <w:highlight w:val="none"/>
        </w:rPr>
        <w:t>本采购项目严禁成交供应商将任何采购合同转包。本项目所称转包，是指成交供应商签订采购合同后，不履行合同约定的责任和义务，将其全部转给他人或者将其肢解以后以分包的名义分别转给其他单位承包的行为。</w:t>
      </w:r>
    </w:p>
    <w:p w14:paraId="133B9DD8">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20.2.</w:t>
      </w:r>
      <w:r>
        <w:rPr>
          <w:rFonts w:hint="eastAsia" w:ascii="仿宋" w:hAnsi="仿宋" w:eastAsia="仿宋" w:cs="仿宋"/>
          <w:color w:val="auto"/>
          <w:highlight w:val="none"/>
        </w:rPr>
        <w:t>成交人转包的，将依法追究法律责任。</w:t>
      </w:r>
    </w:p>
    <w:p w14:paraId="145818D7">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kern w:val="2"/>
          <w:sz w:val="21"/>
          <w:szCs w:val="21"/>
          <w:highlight w:val="none"/>
          <w:lang w:val="en-US" w:eastAsia="zh-CN" w:bidi="ar-SA"/>
        </w:rPr>
        <w:t>21.</w:t>
      </w:r>
      <w:r>
        <w:rPr>
          <w:rFonts w:hint="eastAsia" w:ascii="仿宋" w:hAnsi="仿宋" w:eastAsia="仿宋" w:cs="仿宋"/>
          <w:b/>
          <w:color w:val="auto"/>
          <w:szCs w:val="21"/>
          <w:highlight w:val="none"/>
        </w:rPr>
        <w:t>补充合同</w:t>
      </w:r>
    </w:p>
    <w:p w14:paraId="29FAA77A">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21.1.</w:t>
      </w:r>
      <w:r>
        <w:rPr>
          <w:rFonts w:hint="eastAsia" w:ascii="仿宋" w:hAnsi="仿宋" w:eastAsia="仿宋" w:cs="仿宋"/>
          <w:color w:val="auto"/>
          <w:szCs w:val="21"/>
          <w:highlight w:val="none"/>
        </w:rPr>
        <w:t>采购合同履行过程中，采购人需要追加与合同标的相同的货物、工程或者服务的，在不改变合同其他条款的前提下，可以与成交供应商协商签订补充合同，但所有补充合同的采购金额不得超过原合同采购金额的百分之十。</w:t>
      </w:r>
    </w:p>
    <w:p w14:paraId="60546775">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kern w:val="2"/>
          <w:sz w:val="21"/>
          <w:szCs w:val="21"/>
          <w:highlight w:val="none"/>
          <w:lang w:val="en-US" w:eastAsia="zh-CN" w:bidi="ar-SA"/>
        </w:rPr>
        <w:t>22.</w:t>
      </w:r>
      <w:r>
        <w:rPr>
          <w:rFonts w:hint="eastAsia" w:ascii="仿宋" w:hAnsi="仿宋" w:eastAsia="仿宋" w:cs="仿宋"/>
          <w:b/>
          <w:color w:val="auto"/>
          <w:szCs w:val="21"/>
          <w:highlight w:val="none"/>
        </w:rPr>
        <w:t>履行合同</w:t>
      </w:r>
    </w:p>
    <w:p w14:paraId="55A2EE72">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22.1.</w:t>
      </w:r>
      <w:r>
        <w:rPr>
          <w:rFonts w:hint="eastAsia" w:ascii="仿宋" w:hAnsi="仿宋" w:eastAsia="仿宋" w:cs="仿宋"/>
          <w:color w:val="auto"/>
          <w:szCs w:val="21"/>
          <w:highlight w:val="none"/>
        </w:rPr>
        <w:t>成交供应商与采购人签订合同后，合同双方应严格执行合同条款，履行合同规定的义务，保证合同的顺利完成。</w:t>
      </w:r>
    </w:p>
    <w:p w14:paraId="7EA057C3">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22.2.</w:t>
      </w:r>
      <w:r>
        <w:rPr>
          <w:rFonts w:hint="eastAsia" w:ascii="仿宋" w:hAnsi="仿宋" w:eastAsia="仿宋" w:cs="仿宋"/>
          <w:color w:val="auto"/>
          <w:szCs w:val="21"/>
          <w:highlight w:val="none"/>
        </w:rPr>
        <w:t>在合同履行过程中，如发生合同纠纷，合同双方应按照合同约定及《中华人民共和国民法典》的有关规定进行处理。</w:t>
      </w:r>
    </w:p>
    <w:p w14:paraId="2BFDB78D">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kern w:val="2"/>
          <w:sz w:val="21"/>
          <w:szCs w:val="21"/>
          <w:highlight w:val="none"/>
          <w:lang w:val="en-US" w:eastAsia="zh-CN" w:bidi="ar-SA"/>
        </w:rPr>
        <w:t>23.</w:t>
      </w:r>
      <w:r>
        <w:rPr>
          <w:rFonts w:hint="eastAsia" w:ascii="仿宋" w:hAnsi="仿宋" w:eastAsia="仿宋" w:cs="仿宋"/>
          <w:b/>
          <w:color w:val="auto"/>
          <w:szCs w:val="21"/>
          <w:highlight w:val="none"/>
        </w:rPr>
        <w:t>验收</w:t>
      </w:r>
    </w:p>
    <w:p w14:paraId="4E884206">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23.1.</w:t>
      </w:r>
      <w:r>
        <w:rPr>
          <w:rFonts w:hint="eastAsia" w:ascii="仿宋" w:hAnsi="仿宋" w:eastAsia="仿宋" w:cs="仿宋"/>
          <w:color w:val="auto"/>
          <w:szCs w:val="21"/>
          <w:highlight w:val="none"/>
        </w:rPr>
        <w:t>按国家相关规定、谈判文件的服务质量要求、成交的响应文件及承诺以及合同约定标准进行验收。</w:t>
      </w:r>
    </w:p>
    <w:p w14:paraId="2F21290C">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23.2.</w:t>
      </w:r>
      <w:r>
        <w:rPr>
          <w:rFonts w:hint="eastAsia" w:ascii="仿宋" w:hAnsi="仿宋" w:eastAsia="仿宋" w:cs="仿宋"/>
          <w:color w:val="auto"/>
          <w:szCs w:val="21"/>
          <w:highlight w:val="none"/>
        </w:rPr>
        <w:t>验收结果合格的，采购人应向成交供应商出具履约验收报告，成交供应商凭验收报告办理相关手续。</w:t>
      </w:r>
    </w:p>
    <w:p w14:paraId="24B345B6">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23.3.</w:t>
      </w:r>
      <w:r>
        <w:rPr>
          <w:rFonts w:hint="eastAsia" w:ascii="仿宋" w:hAnsi="仿宋" w:eastAsia="仿宋" w:cs="仿宋"/>
          <w:color w:val="auto"/>
          <w:szCs w:val="21"/>
          <w:highlight w:val="none"/>
        </w:rPr>
        <w:t>验收结果不合格的，履约保证金将不予退还，给采购人造成的损失超过履约保证金数额的，还应当对超过部分予以赔偿；没有提交履约保证金的，应当对采购人的损失承担赔偿责任。</w:t>
      </w:r>
    </w:p>
    <w:p w14:paraId="29A1256F">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kern w:val="2"/>
          <w:sz w:val="21"/>
          <w:szCs w:val="21"/>
          <w:highlight w:val="none"/>
          <w:lang w:val="en-US" w:eastAsia="zh-CN" w:bidi="ar-SA"/>
        </w:rPr>
        <w:t>24.</w:t>
      </w:r>
      <w:r>
        <w:rPr>
          <w:rFonts w:hint="eastAsia" w:ascii="仿宋" w:hAnsi="仿宋" w:eastAsia="仿宋" w:cs="仿宋"/>
          <w:b/>
          <w:color w:val="auto"/>
          <w:szCs w:val="21"/>
          <w:highlight w:val="none"/>
        </w:rPr>
        <w:t>资金支付</w:t>
      </w:r>
    </w:p>
    <w:p w14:paraId="7DF10720">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24.1.</w:t>
      </w:r>
      <w:r>
        <w:rPr>
          <w:rFonts w:hint="eastAsia" w:ascii="仿宋" w:hAnsi="仿宋" w:eastAsia="仿宋" w:cs="仿宋"/>
          <w:color w:val="auto"/>
          <w:szCs w:val="21"/>
          <w:highlight w:val="none"/>
        </w:rPr>
        <w:t>采购人将按照采购合同规定，及时向成交人支付采购资金。本项目采购资金付款详见第五章规定的付款方式。</w:t>
      </w:r>
    </w:p>
    <w:p w14:paraId="33F303DE">
      <w:pPr>
        <w:outlineLvl w:val="9"/>
        <w:rPr>
          <w:rFonts w:hint="eastAsia" w:ascii="仿宋" w:hAnsi="仿宋" w:eastAsia="仿宋" w:cs="仿宋"/>
          <w:b w:val="0"/>
          <w:bCs/>
          <w:color w:val="auto"/>
          <w:kern w:val="2"/>
          <w:sz w:val="28"/>
          <w:szCs w:val="28"/>
          <w:highlight w:val="none"/>
          <w:lang w:val="en-US" w:eastAsia="zh-CN" w:bidi="ar-SA"/>
        </w:rPr>
      </w:pPr>
    </w:p>
    <w:p w14:paraId="42603116">
      <w:pPr>
        <w:pStyle w:val="4"/>
        <w:pageBreakBefore w:val="0"/>
        <w:widowControl w:val="0"/>
        <w:numPr>
          <w:ilvl w:val="0"/>
          <w:numId w:val="0"/>
        </w:numPr>
        <w:kinsoku/>
        <w:wordWrap/>
        <w:overflowPunct/>
        <w:topLinePunct w:val="0"/>
        <w:autoSpaceDE/>
        <w:autoSpaceDN/>
        <w:bidi w:val="0"/>
        <w:adjustRightInd w:val="0"/>
        <w:snapToGrid w:val="0"/>
        <w:spacing w:before="0" w:after="0" w:line="360" w:lineRule="auto"/>
        <w:ind w:left="0" w:leftChars="0" w:firstLine="560" w:firstLineChars="200"/>
        <w:jc w:val="center"/>
        <w:textAlignment w:val="auto"/>
        <w:rPr>
          <w:rFonts w:hint="eastAsia" w:ascii="仿宋" w:hAnsi="仿宋" w:eastAsia="仿宋" w:cs="仿宋"/>
          <w:b w:val="0"/>
          <w:color w:val="auto"/>
          <w:sz w:val="28"/>
          <w:szCs w:val="28"/>
          <w:highlight w:val="none"/>
        </w:rPr>
      </w:pPr>
      <w:r>
        <w:rPr>
          <w:rFonts w:hint="eastAsia" w:ascii="仿宋" w:hAnsi="仿宋" w:eastAsia="仿宋" w:cs="仿宋"/>
          <w:b w:val="0"/>
          <w:bCs/>
          <w:color w:val="auto"/>
          <w:kern w:val="2"/>
          <w:sz w:val="28"/>
          <w:szCs w:val="28"/>
          <w:highlight w:val="none"/>
          <w:lang w:val="en-US" w:eastAsia="zh-CN" w:bidi="ar-SA"/>
        </w:rPr>
        <w:t>（八）</w:t>
      </w:r>
      <w:r>
        <w:rPr>
          <w:rFonts w:hint="eastAsia" w:ascii="仿宋" w:hAnsi="仿宋" w:eastAsia="仿宋" w:cs="仿宋"/>
          <w:b w:val="0"/>
          <w:color w:val="auto"/>
          <w:sz w:val="28"/>
          <w:szCs w:val="28"/>
          <w:highlight w:val="none"/>
        </w:rPr>
        <w:t>纪律要求</w:t>
      </w:r>
    </w:p>
    <w:p w14:paraId="196EB833">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kern w:val="2"/>
          <w:sz w:val="21"/>
          <w:szCs w:val="21"/>
          <w:highlight w:val="none"/>
          <w:lang w:val="en-US" w:eastAsia="zh-CN" w:bidi="ar-SA"/>
        </w:rPr>
        <w:t>25.</w:t>
      </w:r>
      <w:r>
        <w:rPr>
          <w:rFonts w:hint="eastAsia" w:ascii="仿宋" w:hAnsi="仿宋" w:eastAsia="仿宋" w:cs="仿宋"/>
          <w:b/>
          <w:color w:val="auto"/>
          <w:szCs w:val="21"/>
          <w:highlight w:val="none"/>
        </w:rPr>
        <w:t>回避</w:t>
      </w:r>
    </w:p>
    <w:p w14:paraId="7DB1E529">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25.1.</w:t>
      </w:r>
      <w:r>
        <w:rPr>
          <w:rFonts w:hint="eastAsia" w:ascii="仿宋" w:hAnsi="仿宋" w:eastAsia="仿宋" w:cs="仿宋"/>
          <w:color w:val="auto"/>
          <w:szCs w:val="21"/>
          <w:highlight w:val="none"/>
        </w:rPr>
        <w:t>采购活动中，采购人员及相关人员与供应商有下列利害关系之一的，应当回避：</w:t>
      </w:r>
    </w:p>
    <w:p w14:paraId="4FD6358F">
      <w:pPr>
        <w:pStyle w:val="54"/>
        <w:pageBreakBefore w:val="0"/>
        <w:widowControl w:val="0"/>
        <w:numPr>
          <w:ilvl w:val="0"/>
          <w:numId w:val="12"/>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参加采购活动前3年内与供应商存在劳动关系；</w:t>
      </w:r>
    </w:p>
    <w:p w14:paraId="339B4AB1">
      <w:pPr>
        <w:pStyle w:val="54"/>
        <w:pageBreakBefore w:val="0"/>
        <w:widowControl w:val="0"/>
        <w:numPr>
          <w:ilvl w:val="0"/>
          <w:numId w:val="12"/>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参加采购活动前3年内担任供应商的董事、监事；</w:t>
      </w:r>
    </w:p>
    <w:p w14:paraId="37DA00A1">
      <w:pPr>
        <w:pStyle w:val="54"/>
        <w:pageBreakBefore w:val="0"/>
        <w:widowControl w:val="0"/>
        <w:numPr>
          <w:ilvl w:val="0"/>
          <w:numId w:val="12"/>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参加采购活动前3年内是供应商的控股股东或者实际控制人；</w:t>
      </w:r>
    </w:p>
    <w:p w14:paraId="320E8253">
      <w:pPr>
        <w:pStyle w:val="54"/>
        <w:pageBreakBefore w:val="0"/>
        <w:widowControl w:val="0"/>
        <w:numPr>
          <w:ilvl w:val="0"/>
          <w:numId w:val="12"/>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与供应商的法定代表人或者负责人有夫妻、直系血亲、三代以内旁系血亲或者近姻亲关系；</w:t>
      </w:r>
    </w:p>
    <w:p w14:paraId="66786B39">
      <w:pPr>
        <w:pStyle w:val="54"/>
        <w:pageBreakBefore w:val="0"/>
        <w:widowControl w:val="0"/>
        <w:numPr>
          <w:ilvl w:val="0"/>
          <w:numId w:val="12"/>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与供应商有其他可能影响采购活动公平、公正进行的关系。</w:t>
      </w:r>
    </w:p>
    <w:p w14:paraId="184829CC">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25.2.</w:t>
      </w:r>
      <w:r>
        <w:rPr>
          <w:rFonts w:hint="eastAsia" w:ascii="仿宋" w:hAnsi="仿宋" w:eastAsia="仿宋" w:cs="仿宋"/>
          <w:color w:val="auto"/>
          <w:szCs w:val="21"/>
          <w:highlight w:val="none"/>
        </w:rPr>
        <w:t>供应商认为采购人员及相关人员与其他供应商有利害关系的，可以向采购代理机构书面提出回避申请，并说明理由。采购代理机构将及时询问被申请回避人员，有利害关系的被申请回避人员应当回避。</w:t>
      </w:r>
    </w:p>
    <w:p w14:paraId="786CFFAB">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kern w:val="2"/>
          <w:sz w:val="21"/>
          <w:szCs w:val="21"/>
          <w:highlight w:val="none"/>
          <w:lang w:val="en-US" w:eastAsia="zh-CN" w:bidi="ar-SA"/>
        </w:rPr>
        <w:t>26.</w:t>
      </w:r>
      <w:r>
        <w:rPr>
          <w:rFonts w:hint="eastAsia" w:ascii="仿宋" w:hAnsi="仿宋" w:eastAsia="仿宋" w:cs="仿宋"/>
          <w:b/>
          <w:color w:val="auto"/>
          <w:szCs w:val="21"/>
          <w:highlight w:val="none"/>
        </w:rPr>
        <w:t>保密</w:t>
      </w:r>
    </w:p>
    <w:p w14:paraId="709CAD26">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26.1.</w:t>
      </w:r>
      <w:r>
        <w:rPr>
          <w:rFonts w:hint="eastAsia" w:ascii="仿宋" w:hAnsi="仿宋" w:eastAsia="仿宋" w:cs="仿宋"/>
          <w:color w:val="auto"/>
          <w:szCs w:val="21"/>
          <w:highlight w:val="none"/>
        </w:rPr>
        <w:t>采购人、采购代理机构应保证谈判活动在严格保密的情况下进行，采购人、采购代理机构、供应商和谈判小组成员应当严格遵守采购法律法规规章制度和本项目谈判文件以及采购代理机构现场管理规定，接受采购人委派的监督人员的监督，任何单位和个人不得非法干预和影响谈判过程和结果。</w:t>
      </w:r>
    </w:p>
    <w:p w14:paraId="4B6161E3">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26.2.</w:t>
      </w:r>
      <w:r>
        <w:rPr>
          <w:rFonts w:hint="eastAsia" w:ascii="仿宋" w:hAnsi="仿宋" w:eastAsia="仿宋" w:cs="仿宋"/>
          <w:color w:val="auto"/>
          <w:szCs w:val="21"/>
          <w:highlight w:val="none"/>
        </w:rPr>
        <w:t>在谈判过程中，供应商不得以任何形式和谈判小组成员进行旨在影响谈判结果的私下接触，否则将取消其参与谈判的资格。</w:t>
      </w:r>
    </w:p>
    <w:p w14:paraId="4EE87487">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26.3.</w:t>
      </w:r>
      <w:r>
        <w:rPr>
          <w:rFonts w:hint="eastAsia" w:ascii="仿宋" w:hAnsi="仿宋" w:eastAsia="仿宋" w:cs="仿宋"/>
          <w:color w:val="auto"/>
          <w:szCs w:val="21"/>
          <w:highlight w:val="none"/>
        </w:rPr>
        <w:t>对各供应商的商业秘密，谈判小组成员应予以保密，不得泄露给其他供应商。</w:t>
      </w:r>
    </w:p>
    <w:p w14:paraId="73150E1D">
      <w:pPr>
        <w:widowControl/>
        <w:jc w:val="left"/>
        <w:rPr>
          <w:rFonts w:hint="eastAsia" w:ascii="仿宋" w:hAnsi="仿宋" w:eastAsia="仿宋" w:cs="仿宋"/>
          <w:b/>
          <w:bCs/>
          <w:color w:val="auto"/>
          <w:kern w:val="44"/>
          <w:sz w:val="32"/>
          <w:szCs w:val="32"/>
          <w:highlight w:val="none"/>
        </w:rPr>
      </w:pPr>
      <w:bookmarkStart w:id="13" w:name="_Toc509380477"/>
      <w:bookmarkStart w:id="14" w:name="_Toc11831378"/>
      <w:bookmarkStart w:id="15" w:name="_Toc498593030"/>
      <w:bookmarkStart w:id="16" w:name="_Toc498593005"/>
      <w:r>
        <w:rPr>
          <w:rFonts w:hint="eastAsia" w:ascii="仿宋" w:hAnsi="仿宋" w:eastAsia="仿宋" w:cs="仿宋"/>
          <w:color w:val="auto"/>
          <w:sz w:val="32"/>
          <w:szCs w:val="32"/>
          <w:highlight w:val="none"/>
        </w:rPr>
        <w:br w:type="page"/>
      </w:r>
    </w:p>
    <w:p w14:paraId="5610AC60">
      <w:pPr>
        <w:pStyle w:val="3"/>
        <w:spacing w:line="240" w:lineRule="auto"/>
        <w:jc w:val="center"/>
        <w:rPr>
          <w:rFonts w:hint="eastAsia" w:ascii="仿宋" w:hAnsi="仿宋" w:eastAsia="仿宋" w:cs="仿宋"/>
          <w:color w:val="auto"/>
          <w:sz w:val="32"/>
          <w:szCs w:val="32"/>
          <w:highlight w:val="none"/>
        </w:rPr>
      </w:pPr>
      <w:bookmarkStart w:id="17" w:name="_Toc29823"/>
      <w:r>
        <w:rPr>
          <w:rFonts w:hint="eastAsia" w:ascii="仿宋" w:hAnsi="仿宋" w:eastAsia="仿宋" w:cs="仿宋"/>
          <w:color w:val="auto"/>
          <w:sz w:val="32"/>
          <w:szCs w:val="32"/>
          <w:highlight w:val="none"/>
        </w:rPr>
        <w:t xml:space="preserve">第三章  </w:t>
      </w:r>
      <w:bookmarkEnd w:id="13"/>
      <w:bookmarkEnd w:id="14"/>
      <w:r>
        <w:rPr>
          <w:rFonts w:hint="eastAsia" w:ascii="仿宋" w:hAnsi="仿宋" w:eastAsia="仿宋" w:cs="仿宋"/>
          <w:color w:val="auto"/>
          <w:sz w:val="32"/>
          <w:szCs w:val="32"/>
          <w:highlight w:val="none"/>
        </w:rPr>
        <w:t>供应商的资格要求</w:t>
      </w:r>
      <w:bookmarkEnd w:id="17"/>
    </w:p>
    <w:p w14:paraId="1F01B506">
      <w:pPr>
        <w:pStyle w:val="61"/>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kern w:val="2"/>
          <w:sz w:val="21"/>
          <w:szCs w:val="21"/>
          <w:highlight w:val="none"/>
          <w:lang w:val="en-US" w:eastAsia="zh-CN" w:bidi="ar-SA"/>
        </w:rPr>
        <w:t>1.</w:t>
      </w:r>
      <w:r>
        <w:rPr>
          <w:rFonts w:hint="eastAsia" w:ascii="仿宋" w:hAnsi="仿宋" w:eastAsia="仿宋" w:cs="仿宋"/>
          <w:b/>
          <w:color w:val="auto"/>
          <w:szCs w:val="21"/>
          <w:highlight w:val="none"/>
          <w:lang w:eastAsia="zh-CN"/>
        </w:rPr>
        <w:t>供应商应满足的一般资格条件</w:t>
      </w:r>
      <w:r>
        <w:rPr>
          <w:rFonts w:hint="eastAsia" w:ascii="仿宋" w:hAnsi="仿宋" w:eastAsia="仿宋" w:cs="仿宋"/>
          <w:b/>
          <w:color w:val="auto"/>
          <w:szCs w:val="21"/>
          <w:highlight w:val="none"/>
        </w:rPr>
        <w:t>：</w:t>
      </w:r>
    </w:p>
    <w:p w14:paraId="38BE4A14">
      <w:pPr>
        <w:pStyle w:val="61"/>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1.1.</w:t>
      </w:r>
      <w:r>
        <w:rPr>
          <w:rFonts w:hint="eastAsia" w:ascii="仿宋" w:hAnsi="仿宋" w:eastAsia="仿宋" w:cs="仿宋"/>
          <w:color w:val="auto"/>
          <w:szCs w:val="21"/>
          <w:highlight w:val="none"/>
        </w:rPr>
        <w:t>具有独立承担民事责任的能力；</w:t>
      </w:r>
    </w:p>
    <w:p w14:paraId="1974178A">
      <w:pPr>
        <w:pStyle w:val="61"/>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1.2.</w:t>
      </w:r>
      <w:r>
        <w:rPr>
          <w:rFonts w:hint="eastAsia" w:ascii="仿宋" w:hAnsi="仿宋" w:eastAsia="仿宋" w:cs="仿宋"/>
          <w:color w:val="auto"/>
          <w:szCs w:val="21"/>
          <w:highlight w:val="none"/>
        </w:rPr>
        <w:t>具有良好的商业信誉和健全的财务会计制度；</w:t>
      </w:r>
    </w:p>
    <w:p w14:paraId="6CF01D07">
      <w:pPr>
        <w:pStyle w:val="61"/>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1.3.</w:t>
      </w:r>
      <w:r>
        <w:rPr>
          <w:rFonts w:hint="eastAsia" w:ascii="仿宋" w:hAnsi="仿宋" w:eastAsia="仿宋" w:cs="仿宋"/>
          <w:color w:val="auto"/>
          <w:szCs w:val="21"/>
          <w:highlight w:val="none"/>
        </w:rPr>
        <w:t>具有履行合同所必须的设备和专业技术能力；</w:t>
      </w:r>
    </w:p>
    <w:p w14:paraId="4FCF3DE3">
      <w:pPr>
        <w:pStyle w:val="61"/>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1.4.</w:t>
      </w:r>
      <w:r>
        <w:rPr>
          <w:rFonts w:hint="eastAsia" w:ascii="仿宋" w:hAnsi="仿宋" w:eastAsia="仿宋" w:cs="仿宋"/>
          <w:color w:val="auto"/>
          <w:szCs w:val="21"/>
          <w:highlight w:val="none"/>
        </w:rPr>
        <w:t>具有依法缴纳税收和社会保障资金的良好记录；</w:t>
      </w:r>
    </w:p>
    <w:p w14:paraId="2269B7AF">
      <w:pPr>
        <w:pStyle w:val="61"/>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1.5.</w:t>
      </w:r>
      <w:r>
        <w:rPr>
          <w:rFonts w:hint="eastAsia" w:ascii="仿宋" w:hAnsi="仿宋" w:eastAsia="仿宋" w:cs="仿宋"/>
          <w:color w:val="auto"/>
          <w:szCs w:val="21"/>
          <w:highlight w:val="none"/>
        </w:rPr>
        <w:t>参加本次采购活动前三年内，在经营活动中没有重大违法记录；</w:t>
      </w:r>
    </w:p>
    <w:p w14:paraId="7D7BB84A">
      <w:pPr>
        <w:pStyle w:val="61"/>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1.6.</w:t>
      </w:r>
      <w:r>
        <w:rPr>
          <w:rFonts w:hint="eastAsia" w:ascii="仿宋" w:hAnsi="仿宋" w:eastAsia="仿宋" w:cs="仿宋"/>
          <w:color w:val="auto"/>
          <w:szCs w:val="21"/>
          <w:highlight w:val="none"/>
        </w:rPr>
        <w:t>法律、行政法规规定的其他条件：无。</w:t>
      </w:r>
    </w:p>
    <w:p w14:paraId="0E668223">
      <w:pPr>
        <w:pStyle w:val="61"/>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2" w:firstLineChars="200"/>
        <w:textAlignment w:val="auto"/>
        <w:rPr>
          <w:rFonts w:hint="eastAsia" w:ascii="仿宋" w:hAnsi="仿宋" w:eastAsia="仿宋" w:cs="仿宋"/>
          <w:color w:val="auto"/>
          <w:szCs w:val="21"/>
          <w:highlight w:val="none"/>
        </w:rPr>
      </w:pPr>
      <w:r>
        <w:rPr>
          <w:rFonts w:hint="eastAsia" w:ascii="仿宋" w:hAnsi="仿宋" w:eastAsia="仿宋" w:cs="仿宋"/>
          <w:b/>
          <w:color w:val="auto"/>
          <w:kern w:val="2"/>
          <w:sz w:val="21"/>
          <w:szCs w:val="21"/>
          <w:highlight w:val="none"/>
          <w:lang w:val="en-US" w:eastAsia="zh-CN" w:bidi="ar-SA"/>
        </w:rPr>
        <w:t>2.</w:t>
      </w:r>
      <w:r>
        <w:rPr>
          <w:rFonts w:hint="eastAsia" w:ascii="仿宋" w:hAnsi="仿宋" w:eastAsia="仿宋" w:cs="仿宋"/>
          <w:b/>
          <w:color w:val="auto"/>
          <w:szCs w:val="21"/>
          <w:highlight w:val="none"/>
        </w:rPr>
        <w:t>本项目的特定资格要求：</w:t>
      </w:r>
    </w:p>
    <w:p w14:paraId="257A5734">
      <w:pPr>
        <w:pStyle w:val="61"/>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供应商须具备行政主管部门颁发的</w:t>
      </w:r>
      <w:r>
        <w:rPr>
          <w:rFonts w:hint="eastAsia" w:ascii="仿宋" w:hAnsi="仿宋" w:eastAsia="仿宋" w:cs="仿宋"/>
          <w:color w:val="auto"/>
          <w:szCs w:val="21"/>
          <w:highlight w:val="none"/>
          <w:lang w:eastAsia="zh-CN"/>
        </w:rPr>
        <w:t>测绘乙级</w:t>
      </w:r>
      <w:r>
        <w:rPr>
          <w:rFonts w:hint="eastAsia" w:ascii="仿宋" w:hAnsi="仿宋" w:eastAsia="仿宋" w:cs="仿宋"/>
          <w:color w:val="auto"/>
          <w:szCs w:val="21"/>
          <w:highlight w:val="none"/>
        </w:rPr>
        <w:t>（含不动产测绘、地理信息系统</w:t>
      </w:r>
      <w:r>
        <w:rPr>
          <w:rFonts w:hint="eastAsia" w:ascii="仿宋" w:hAnsi="仿宋" w:eastAsia="仿宋" w:cs="仿宋"/>
          <w:color w:val="auto"/>
          <w:szCs w:val="21"/>
          <w:highlight w:val="none"/>
          <w:lang w:eastAsia="zh-CN"/>
        </w:rPr>
        <w:t>工程</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及以上</w:t>
      </w:r>
      <w:r>
        <w:rPr>
          <w:rFonts w:hint="eastAsia" w:ascii="仿宋" w:hAnsi="仿宋" w:eastAsia="仿宋" w:cs="仿宋"/>
          <w:color w:val="auto"/>
          <w:szCs w:val="21"/>
          <w:highlight w:val="none"/>
        </w:rPr>
        <w:t>资质</w:t>
      </w:r>
      <w:r>
        <w:rPr>
          <w:rFonts w:hint="eastAsia" w:ascii="仿宋" w:hAnsi="仿宋" w:eastAsia="仿宋" w:cs="仿宋"/>
          <w:color w:val="auto"/>
          <w:szCs w:val="21"/>
          <w:highlight w:val="none"/>
          <w:lang w:eastAsia="zh-CN"/>
        </w:rPr>
        <w:t>。</w:t>
      </w:r>
    </w:p>
    <w:p w14:paraId="6CD5DB3B">
      <w:pPr>
        <w:pStyle w:val="61"/>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2" w:firstLineChars="200"/>
        <w:textAlignment w:val="auto"/>
        <w:rPr>
          <w:rFonts w:hint="eastAsia" w:ascii="仿宋" w:hAnsi="仿宋" w:eastAsia="仿宋" w:cs="仿宋"/>
          <w:color w:val="auto"/>
          <w:szCs w:val="21"/>
          <w:highlight w:val="none"/>
        </w:rPr>
      </w:pPr>
      <w:r>
        <w:rPr>
          <w:rFonts w:hint="eastAsia" w:ascii="仿宋" w:hAnsi="仿宋" w:eastAsia="仿宋" w:cs="仿宋"/>
          <w:b/>
          <w:color w:val="auto"/>
          <w:kern w:val="2"/>
          <w:sz w:val="21"/>
          <w:szCs w:val="21"/>
          <w:highlight w:val="none"/>
          <w:lang w:val="en-US" w:eastAsia="zh-CN" w:bidi="ar-SA"/>
        </w:rPr>
        <w:t>3.</w:t>
      </w:r>
      <w:r>
        <w:rPr>
          <w:rFonts w:hint="eastAsia" w:ascii="仿宋" w:hAnsi="仿宋" w:eastAsia="仿宋" w:cs="仿宋"/>
          <w:b/>
          <w:color w:val="auto"/>
          <w:szCs w:val="21"/>
          <w:highlight w:val="none"/>
          <w:lang w:eastAsia="zh-CN"/>
        </w:rPr>
        <w:t>本项目的其他类似效力要求：</w:t>
      </w:r>
    </w:p>
    <w:p w14:paraId="05FBA012">
      <w:pPr>
        <w:pStyle w:val="61"/>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3.1.</w:t>
      </w:r>
      <w:r>
        <w:rPr>
          <w:rFonts w:hint="eastAsia" w:ascii="仿宋" w:hAnsi="仿宋" w:eastAsia="仿宋" w:cs="仿宋"/>
          <w:color w:val="auto"/>
          <w:szCs w:val="21"/>
          <w:highlight w:val="none"/>
        </w:rPr>
        <w:t>本项目不允许联合体参加采购活动</w:t>
      </w:r>
      <w:r>
        <w:rPr>
          <w:rFonts w:hint="eastAsia" w:ascii="仿宋" w:hAnsi="仿宋" w:eastAsia="仿宋" w:cs="仿宋"/>
          <w:b w:val="0"/>
          <w:bCs/>
          <w:color w:val="auto"/>
          <w:szCs w:val="21"/>
          <w:highlight w:val="none"/>
        </w:rPr>
        <w:t>。</w:t>
      </w:r>
    </w:p>
    <w:p w14:paraId="5553016D">
      <w:pPr>
        <w:pStyle w:val="61"/>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3.2.</w:t>
      </w:r>
      <w:r>
        <w:rPr>
          <w:rFonts w:hint="eastAsia" w:ascii="仿宋" w:hAnsi="仿宋" w:eastAsia="仿宋" w:cs="仿宋"/>
          <w:color w:val="auto"/>
          <w:szCs w:val="21"/>
          <w:highlight w:val="none"/>
        </w:rPr>
        <w:t>供应商代表为供应商法定代表人本人或其授权参加本次谈判活动的合法代表。</w:t>
      </w:r>
    </w:p>
    <w:p w14:paraId="076B2241">
      <w:pPr>
        <w:pStyle w:val="61"/>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ascii="仿宋" w:hAnsi="仿宋" w:eastAsia="仿宋" w:cs="仿宋"/>
          <w:color w:val="auto"/>
          <w:szCs w:val="21"/>
          <w:highlight w:val="none"/>
        </w:rPr>
      </w:pPr>
    </w:p>
    <w:p w14:paraId="50988555">
      <w:pPr>
        <w:pStyle w:val="61"/>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注：①本章第1.5条中的“重大违法记录”，即因违法经营受到刑事处罚或者责令停产停业、吊销许可证或者执照、较大数额罚款等行政处罚。</w:t>
      </w:r>
      <w:r>
        <w:rPr>
          <w:rFonts w:hint="eastAsia" w:ascii="仿宋" w:hAnsi="仿宋" w:eastAsia="仿宋" w:cs="仿宋"/>
          <w:color w:val="auto"/>
          <w:szCs w:val="21"/>
          <w:highlight w:val="none"/>
          <w:lang w:val="en-US" w:eastAsia="zh-CN"/>
        </w:rPr>
        <w:t>根据《财政部关于&lt;中华人民共和国政府采购法实施条例&gt;第十九条第一款“较大数额罚款”具体适用问题的意见》（财库〔2022〕3号）规定，“</w:t>
      </w:r>
      <w:r>
        <w:rPr>
          <w:rFonts w:hint="eastAsia" w:ascii="仿宋" w:hAnsi="仿宋" w:eastAsia="仿宋" w:cs="仿宋"/>
          <w:color w:val="auto"/>
          <w:szCs w:val="21"/>
          <w:highlight w:val="none"/>
        </w:rPr>
        <w:t>较大数额罚款</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rPr>
        <w:t>认定</w:t>
      </w:r>
      <w:r>
        <w:rPr>
          <w:rFonts w:hint="eastAsia" w:ascii="仿宋" w:hAnsi="仿宋" w:eastAsia="仿宋" w:cs="仿宋"/>
          <w:color w:val="auto"/>
          <w:szCs w:val="21"/>
          <w:highlight w:val="none"/>
          <w:lang w:val="en-US" w:eastAsia="zh-CN"/>
        </w:rPr>
        <w:t>为200万元以上的罚款，法律、行政法规以及国务院有关部门明确规定相关领域“较大数额罚款”标准高于200万元的，从其规定</w:t>
      </w:r>
      <w:r>
        <w:rPr>
          <w:rFonts w:hint="eastAsia" w:ascii="仿宋" w:hAnsi="仿宋" w:eastAsia="仿宋" w:cs="仿宋"/>
          <w:color w:val="auto"/>
          <w:szCs w:val="21"/>
          <w:highlight w:val="none"/>
        </w:rPr>
        <w:t>。</w:t>
      </w:r>
    </w:p>
    <w:p w14:paraId="0E5FD497">
      <w:pPr>
        <w:pStyle w:val="61"/>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②供应商若不符合第二章须知前附表“信用记录查询及使用”规定，不予通过资格审查。</w:t>
      </w:r>
    </w:p>
    <w:p w14:paraId="39729259">
      <w:pPr>
        <w:pStyle w:val="61"/>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③供应商若不符合第二章须知前附表“充分、公平竞争保障措施”规定的，不予通过资格审查。</w:t>
      </w:r>
    </w:p>
    <w:p w14:paraId="6599C53C">
      <w:pPr>
        <w:pStyle w:val="54"/>
        <w:spacing w:line="400" w:lineRule="exact"/>
        <w:ind w:left="420" w:firstLine="0" w:firstLineChars="0"/>
        <w:rPr>
          <w:rFonts w:hint="eastAsia" w:ascii="仿宋" w:hAnsi="仿宋" w:eastAsia="仿宋" w:cs="仿宋"/>
          <w:color w:val="auto"/>
          <w:szCs w:val="21"/>
          <w:highlight w:val="none"/>
        </w:rPr>
      </w:pPr>
    </w:p>
    <w:p w14:paraId="701FAB49">
      <w:pPr>
        <w:widowControl/>
        <w:jc w:val="left"/>
        <w:rPr>
          <w:rFonts w:hint="eastAsia" w:ascii="仿宋" w:hAnsi="仿宋" w:eastAsia="仿宋" w:cs="仿宋"/>
          <w:b/>
          <w:bCs/>
          <w:color w:val="auto"/>
          <w:kern w:val="44"/>
          <w:sz w:val="32"/>
          <w:szCs w:val="32"/>
          <w:highlight w:val="none"/>
        </w:rPr>
      </w:pPr>
      <w:bookmarkStart w:id="18" w:name="_Toc11831379"/>
      <w:bookmarkStart w:id="19" w:name="_Toc509380478"/>
      <w:r>
        <w:rPr>
          <w:rFonts w:hint="eastAsia" w:ascii="仿宋" w:hAnsi="仿宋" w:eastAsia="仿宋" w:cs="仿宋"/>
          <w:color w:val="auto"/>
          <w:sz w:val="32"/>
          <w:szCs w:val="32"/>
          <w:highlight w:val="none"/>
        </w:rPr>
        <w:br w:type="page"/>
      </w:r>
    </w:p>
    <w:p w14:paraId="7E8E9D23">
      <w:pPr>
        <w:pStyle w:val="3"/>
        <w:spacing w:line="240" w:lineRule="auto"/>
        <w:jc w:val="center"/>
        <w:rPr>
          <w:rFonts w:hint="eastAsia" w:ascii="仿宋" w:hAnsi="仿宋" w:eastAsia="仿宋" w:cs="仿宋"/>
          <w:color w:val="auto"/>
          <w:sz w:val="32"/>
          <w:szCs w:val="32"/>
          <w:highlight w:val="none"/>
        </w:rPr>
      </w:pPr>
      <w:bookmarkStart w:id="20" w:name="_Toc30300"/>
      <w:r>
        <w:rPr>
          <w:rFonts w:hint="eastAsia" w:ascii="仿宋" w:hAnsi="仿宋" w:eastAsia="仿宋" w:cs="仿宋"/>
          <w:color w:val="auto"/>
          <w:sz w:val="32"/>
          <w:szCs w:val="32"/>
          <w:highlight w:val="none"/>
        </w:rPr>
        <w:t xml:space="preserve">第四章  </w:t>
      </w:r>
      <w:bookmarkEnd w:id="15"/>
      <w:bookmarkEnd w:id="16"/>
      <w:bookmarkEnd w:id="18"/>
      <w:bookmarkEnd w:id="19"/>
      <w:r>
        <w:rPr>
          <w:rFonts w:hint="eastAsia" w:ascii="仿宋" w:hAnsi="仿宋" w:eastAsia="仿宋" w:cs="仿宋"/>
          <w:color w:val="auto"/>
          <w:sz w:val="32"/>
          <w:szCs w:val="32"/>
          <w:highlight w:val="none"/>
        </w:rPr>
        <w:t>供应商应当提供的资格证明材料</w:t>
      </w:r>
      <w:bookmarkEnd w:id="20"/>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1594"/>
        <w:gridCol w:w="7649"/>
      </w:tblGrid>
      <w:tr w14:paraId="7441B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Align w:val="center"/>
          </w:tcPr>
          <w:p w14:paraId="4E8049A5">
            <w:pPr>
              <w:pStyle w:val="61"/>
              <w:spacing w:line="400" w:lineRule="exact"/>
              <w:ind w:firstLine="0" w:firstLineChars="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800" w:type="pct"/>
            <w:vAlign w:val="center"/>
          </w:tcPr>
          <w:p w14:paraId="4962EC3E">
            <w:pPr>
              <w:pStyle w:val="61"/>
              <w:spacing w:line="400" w:lineRule="exact"/>
              <w:ind w:firstLine="0" w:firstLineChars="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证明材料名称</w:t>
            </w:r>
          </w:p>
        </w:tc>
        <w:tc>
          <w:tcPr>
            <w:tcW w:w="3838" w:type="pct"/>
            <w:vAlign w:val="center"/>
          </w:tcPr>
          <w:p w14:paraId="4A975A51">
            <w:pPr>
              <w:pStyle w:val="61"/>
              <w:spacing w:line="400" w:lineRule="exact"/>
              <w:ind w:firstLine="0" w:firstLineChars="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说明和要求</w:t>
            </w:r>
          </w:p>
        </w:tc>
      </w:tr>
      <w:tr w14:paraId="21E64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Align w:val="center"/>
          </w:tcPr>
          <w:p w14:paraId="2DACDE50">
            <w:pPr>
              <w:pStyle w:val="61"/>
              <w:numPr>
                <w:ilvl w:val="0"/>
                <w:numId w:val="13"/>
              </w:numPr>
              <w:spacing w:line="400" w:lineRule="exact"/>
              <w:ind w:firstLineChars="0"/>
              <w:jc w:val="center"/>
              <w:rPr>
                <w:rFonts w:hint="eastAsia" w:ascii="仿宋" w:hAnsi="仿宋" w:eastAsia="仿宋" w:cs="仿宋"/>
                <w:color w:val="auto"/>
                <w:szCs w:val="21"/>
                <w:highlight w:val="none"/>
              </w:rPr>
            </w:pPr>
          </w:p>
        </w:tc>
        <w:tc>
          <w:tcPr>
            <w:tcW w:w="800" w:type="pct"/>
            <w:vAlign w:val="center"/>
          </w:tcPr>
          <w:p w14:paraId="7A10358C">
            <w:pPr>
              <w:pStyle w:val="61"/>
              <w:spacing w:line="400" w:lineRule="exact"/>
              <w:ind w:firstLine="0" w:firstLineChars="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资格声明函</w:t>
            </w:r>
          </w:p>
        </w:tc>
        <w:tc>
          <w:tcPr>
            <w:tcW w:w="3838" w:type="pct"/>
            <w:vAlign w:val="center"/>
          </w:tcPr>
          <w:p w14:paraId="3F91EE2D">
            <w:pPr>
              <w:pStyle w:val="61"/>
              <w:numPr>
                <w:ilvl w:val="0"/>
                <w:numId w:val="14"/>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提供有效的“资格声明函”（格式见第七章）。</w:t>
            </w:r>
          </w:p>
        </w:tc>
      </w:tr>
      <w:tr w14:paraId="63185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Align w:val="center"/>
          </w:tcPr>
          <w:p w14:paraId="1DA4055C">
            <w:pPr>
              <w:pStyle w:val="61"/>
              <w:numPr>
                <w:ilvl w:val="0"/>
                <w:numId w:val="13"/>
              </w:numPr>
              <w:spacing w:line="400" w:lineRule="exact"/>
              <w:ind w:firstLineChars="0"/>
              <w:jc w:val="center"/>
              <w:rPr>
                <w:rFonts w:hint="eastAsia" w:ascii="仿宋" w:hAnsi="仿宋" w:eastAsia="仿宋" w:cs="仿宋"/>
                <w:color w:val="auto"/>
                <w:szCs w:val="21"/>
                <w:highlight w:val="none"/>
              </w:rPr>
            </w:pPr>
          </w:p>
        </w:tc>
        <w:tc>
          <w:tcPr>
            <w:tcW w:w="800" w:type="pct"/>
            <w:vAlign w:val="center"/>
          </w:tcPr>
          <w:p w14:paraId="1CB64A93">
            <w:pPr>
              <w:pStyle w:val="61"/>
              <w:spacing w:line="400" w:lineRule="exact"/>
              <w:ind w:firstLine="0" w:firstLineChars="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营业执照等证明材料</w:t>
            </w:r>
          </w:p>
        </w:tc>
        <w:tc>
          <w:tcPr>
            <w:tcW w:w="3838" w:type="pct"/>
            <w:vAlign w:val="center"/>
          </w:tcPr>
          <w:p w14:paraId="24284705">
            <w:pPr>
              <w:pStyle w:val="61"/>
              <w:numPr>
                <w:ilvl w:val="0"/>
                <w:numId w:val="15"/>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提供下述营业执照等证明材料（四选一）：</w:t>
            </w:r>
          </w:p>
          <w:p w14:paraId="004B4CE6">
            <w:pPr>
              <w:pStyle w:val="61"/>
              <w:numPr>
                <w:ilvl w:val="0"/>
                <w:numId w:val="16"/>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供应商若为企业法人：提供有效的“统一社会信用代码营业执照”；未换证的提供有效的“营业执照、税务登记证、组织机构代码证或三证合一的营业执照”。</w:t>
            </w:r>
          </w:p>
          <w:p w14:paraId="331D3213">
            <w:pPr>
              <w:pStyle w:val="61"/>
              <w:numPr>
                <w:ilvl w:val="0"/>
                <w:numId w:val="16"/>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供应商若为事业法人：提供有效的“统一社会信用代码法人登记证书”；未换证的提供有效的“事业法人登记证书、组织机构代码证”。</w:t>
            </w:r>
          </w:p>
          <w:p w14:paraId="74B54C4E">
            <w:pPr>
              <w:pStyle w:val="61"/>
              <w:numPr>
                <w:ilvl w:val="0"/>
                <w:numId w:val="16"/>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供应商若为其他组织：提供有效的“对应主管部门颁发的准许执业证明文件或营业执照”。</w:t>
            </w:r>
          </w:p>
          <w:p w14:paraId="2F634F9E">
            <w:pPr>
              <w:pStyle w:val="61"/>
              <w:numPr>
                <w:ilvl w:val="0"/>
                <w:numId w:val="16"/>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供应商若为自然人：提供有效的“身份证明材料”；身份证明材料包括在有效期内的居民身份证或户口本或军官证或护照等。</w:t>
            </w:r>
          </w:p>
        </w:tc>
      </w:tr>
      <w:tr w14:paraId="2BD8A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Align w:val="center"/>
          </w:tcPr>
          <w:p w14:paraId="5D4D8252">
            <w:pPr>
              <w:pStyle w:val="61"/>
              <w:numPr>
                <w:ilvl w:val="0"/>
                <w:numId w:val="13"/>
              </w:numPr>
              <w:spacing w:line="400" w:lineRule="exact"/>
              <w:ind w:firstLineChars="0"/>
              <w:jc w:val="center"/>
              <w:rPr>
                <w:rFonts w:hint="eastAsia" w:ascii="仿宋" w:hAnsi="仿宋" w:eastAsia="仿宋" w:cs="仿宋"/>
                <w:color w:val="auto"/>
                <w:szCs w:val="21"/>
                <w:highlight w:val="none"/>
              </w:rPr>
            </w:pPr>
          </w:p>
        </w:tc>
        <w:tc>
          <w:tcPr>
            <w:tcW w:w="800" w:type="pct"/>
            <w:vAlign w:val="center"/>
          </w:tcPr>
          <w:p w14:paraId="18FAD85F">
            <w:pPr>
              <w:pStyle w:val="61"/>
              <w:spacing w:line="400" w:lineRule="exact"/>
              <w:ind w:firstLine="0" w:firstLineChars="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特定资格要求</w:t>
            </w:r>
          </w:p>
        </w:tc>
        <w:tc>
          <w:tcPr>
            <w:tcW w:w="3838" w:type="pct"/>
            <w:vAlign w:val="center"/>
          </w:tcPr>
          <w:p w14:paraId="1B46ACDF">
            <w:pPr>
              <w:pStyle w:val="61"/>
              <w:numPr>
                <w:ilvl w:val="0"/>
                <w:numId w:val="17"/>
              </w:numPr>
              <w:spacing w:line="400" w:lineRule="exact"/>
              <w:ind w:firstLineChars="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供应商须具备行政主管部门颁发的</w:t>
            </w:r>
            <w:r>
              <w:rPr>
                <w:rFonts w:hint="eastAsia" w:ascii="仿宋" w:hAnsi="仿宋" w:eastAsia="仿宋" w:cs="仿宋"/>
                <w:color w:val="auto"/>
                <w:szCs w:val="21"/>
                <w:highlight w:val="none"/>
                <w:lang w:eastAsia="zh-CN"/>
              </w:rPr>
              <w:t>测绘乙级（含不动产测绘、地理信息系统工程）及以上</w:t>
            </w:r>
            <w:r>
              <w:rPr>
                <w:rFonts w:hint="eastAsia" w:ascii="仿宋" w:hAnsi="仿宋" w:eastAsia="仿宋" w:cs="仿宋"/>
                <w:color w:val="auto"/>
                <w:szCs w:val="21"/>
                <w:highlight w:val="none"/>
              </w:rPr>
              <w:t>资质</w:t>
            </w:r>
            <w:r>
              <w:rPr>
                <w:rFonts w:hint="eastAsia" w:ascii="仿宋" w:hAnsi="仿宋" w:eastAsia="仿宋" w:cs="仿宋"/>
                <w:color w:val="auto"/>
                <w:szCs w:val="21"/>
                <w:highlight w:val="none"/>
                <w:lang w:val="en-US" w:eastAsia="zh-CN"/>
              </w:rPr>
              <w:t>复印件加盖公章</w:t>
            </w:r>
            <w:r>
              <w:rPr>
                <w:rFonts w:hint="eastAsia" w:ascii="仿宋" w:hAnsi="仿宋" w:eastAsia="仿宋" w:cs="仿宋"/>
                <w:color w:val="auto"/>
                <w:szCs w:val="21"/>
                <w:highlight w:val="none"/>
              </w:rPr>
              <w:t>。</w:t>
            </w:r>
          </w:p>
        </w:tc>
      </w:tr>
      <w:tr w14:paraId="2C271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Align w:val="center"/>
          </w:tcPr>
          <w:p w14:paraId="51407E4E">
            <w:pPr>
              <w:pStyle w:val="61"/>
              <w:numPr>
                <w:ilvl w:val="0"/>
                <w:numId w:val="13"/>
              </w:numPr>
              <w:spacing w:line="400" w:lineRule="exact"/>
              <w:ind w:firstLineChars="0"/>
              <w:jc w:val="center"/>
              <w:rPr>
                <w:rFonts w:hint="eastAsia" w:ascii="仿宋" w:hAnsi="仿宋" w:eastAsia="仿宋" w:cs="仿宋"/>
                <w:color w:val="auto"/>
                <w:szCs w:val="21"/>
                <w:highlight w:val="none"/>
              </w:rPr>
            </w:pPr>
          </w:p>
        </w:tc>
        <w:tc>
          <w:tcPr>
            <w:tcW w:w="800" w:type="pct"/>
            <w:vAlign w:val="center"/>
          </w:tcPr>
          <w:p w14:paraId="5B5B05D6">
            <w:pPr>
              <w:pStyle w:val="61"/>
              <w:numPr>
                <w:ilvl w:val="0"/>
                <w:numId w:val="0"/>
              </w:numPr>
              <w:spacing w:line="400" w:lineRule="exact"/>
              <w:ind w:leftChars="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参加本次谈判活动的合法代表证明材料</w:t>
            </w:r>
          </w:p>
        </w:tc>
        <w:tc>
          <w:tcPr>
            <w:tcW w:w="3838" w:type="pct"/>
            <w:vAlign w:val="center"/>
          </w:tcPr>
          <w:p w14:paraId="57ED9C8B">
            <w:pPr>
              <w:pStyle w:val="61"/>
              <w:numPr>
                <w:ilvl w:val="0"/>
                <w:numId w:val="18"/>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法定代表人身份证明书原件（供应商代表为法定代表人时提供）或法定代表人授权委托书原件（供应商代表为非法定代表人时提供）。</w:t>
            </w:r>
          </w:p>
        </w:tc>
      </w:tr>
    </w:tbl>
    <w:p w14:paraId="11D9D320">
      <w:pPr>
        <w:spacing w:line="400" w:lineRule="exact"/>
        <w:rPr>
          <w:rFonts w:hint="eastAsia" w:ascii="仿宋" w:hAnsi="仿宋" w:eastAsia="仿宋" w:cs="仿宋"/>
          <w:color w:val="auto"/>
          <w:szCs w:val="21"/>
          <w:highlight w:val="none"/>
        </w:rPr>
      </w:pPr>
    </w:p>
    <w:p w14:paraId="10F54B1A">
      <w:pPr>
        <w:pStyle w:val="54"/>
        <w:widowControl/>
        <w:spacing w:line="340" w:lineRule="exact"/>
        <w:ind w:left="425" w:firstLine="0" w:firstLineChars="0"/>
        <w:jc w:val="left"/>
        <w:rPr>
          <w:rFonts w:hint="eastAsia" w:ascii="仿宋" w:hAnsi="仿宋" w:eastAsia="仿宋" w:cs="仿宋"/>
          <w:b/>
          <w:color w:val="auto"/>
          <w:szCs w:val="21"/>
          <w:highlight w:val="none"/>
        </w:rPr>
      </w:pPr>
    </w:p>
    <w:p w14:paraId="6692365C">
      <w:pPr>
        <w:widowControl/>
        <w:jc w:val="left"/>
        <w:rPr>
          <w:rFonts w:hint="eastAsia" w:ascii="仿宋" w:hAnsi="仿宋" w:eastAsia="仿宋" w:cs="仿宋"/>
          <w:b/>
          <w:color w:val="auto"/>
          <w:sz w:val="32"/>
          <w:szCs w:val="32"/>
          <w:highlight w:val="none"/>
        </w:rPr>
      </w:pPr>
      <w:bookmarkStart w:id="21" w:name="_Toc38440033"/>
      <w:bookmarkStart w:id="22" w:name="_Toc3902315"/>
      <w:r>
        <w:rPr>
          <w:rFonts w:hint="eastAsia" w:ascii="仿宋" w:hAnsi="仿宋" w:eastAsia="仿宋" w:cs="仿宋"/>
          <w:b/>
          <w:color w:val="auto"/>
          <w:sz w:val="32"/>
          <w:szCs w:val="32"/>
          <w:highlight w:val="none"/>
        </w:rPr>
        <w:br w:type="page"/>
      </w:r>
    </w:p>
    <w:p w14:paraId="30013EB3">
      <w:pPr>
        <w:pStyle w:val="3"/>
        <w:spacing w:line="240" w:lineRule="auto"/>
        <w:jc w:val="center"/>
        <w:rPr>
          <w:rFonts w:hint="eastAsia" w:ascii="仿宋" w:hAnsi="仿宋" w:eastAsia="仿宋" w:cs="仿宋"/>
          <w:color w:val="auto"/>
          <w:sz w:val="32"/>
          <w:szCs w:val="32"/>
          <w:highlight w:val="none"/>
        </w:rPr>
      </w:pPr>
      <w:bookmarkStart w:id="23" w:name="_Toc10231"/>
      <w:r>
        <w:rPr>
          <w:rFonts w:hint="eastAsia" w:ascii="仿宋" w:hAnsi="仿宋" w:eastAsia="仿宋" w:cs="仿宋"/>
          <w:color w:val="auto"/>
          <w:sz w:val="32"/>
          <w:szCs w:val="32"/>
          <w:highlight w:val="none"/>
        </w:rPr>
        <w:t xml:space="preserve">第五章  </w:t>
      </w:r>
      <w:bookmarkEnd w:id="21"/>
      <w:bookmarkEnd w:id="22"/>
      <w:r>
        <w:rPr>
          <w:rFonts w:hint="eastAsia" w:ascii="仿宋" w:hAnsi="仿宋" w:eastAsia="仿宋" w:cs="仿宋"/>
          <w:color w:val="auto"/>
          <w:sz w:val="32"/>
          <w:szCs w:val="32"/>
          <w:highlight w:val="none"/>
        </w:rPr>
        <w:t>采购项目技术、服务、合同内容条款及其他商务要求</w:t>
      </w:r>
      <w:bookmarkEnd w:id="23"/>
    </w:p>
    <w:p w14:paraId="5A7F29A1">
      <w:pPr>
        <w:pStyle w:val="54"/>
        <w:keepNext w:val="0"/>
        <w:keepLines w:val="0"/>
        <w:pageBreakBefore w:val="0"/>
        <w:widowControl/>
        <w:numPr>
          <w:ilvl w:val="0"/>
          <w:numId w:val="0"/>
        </w:numPr>
        <w:kinsoku/>
        <w:wordWrap/>
        <w:overflowPunct/>
        <w:topLinePunct w:val="0"/>
        <w:autoSpaceDE/>
        <w:autoSpaceDN/>
        <w:bidi w:val="0"/>
        <w:adjustRightInd/>
        <w:snapToGrid w:val="0"/>
        <w:spacing w:line="360" w:lineRule="auto"/>
        <w:ind w:left="425" w:leftChars="0" w:hanging="425" w:firstLineChars="0"/>
        <w:jc w:val="left"/>
        <w:textAlignment w:val="auto"/>
        <w:rPr>
          <w:rFonts w:hint="eastAsia" w:ascii="仿宋" w:hAnsi="仿宋" w:eastAsia="仿宋" w:cs="仿宋"/>
          <w:b/>
          <w:color w:val="auto"/>
          <w:szCs w:val="21"/>
          <w:highlight w:val="none"/>
        </w:rPr>
      </w:pPr>
      <w:bookmarkStart w:id="24" w:name="_Toc498593033"/>
      <w:bookmarkStart w:id="25" w:name="_Toc11831380"/>
      <w:bookmarkStart w:id="26" w:name="_Toc509380480"/>
      <w:bookmarkStart w:id="27" w:name="_Toc498593008"/>
      <w:bookmarkStart w:id="28" w:name="_Toc509380479"/>
      <w:bookmarkStart w:id="29" w:name="_Toc498593006"/>
      <w:bookmarkStart w:id="30" w:name="_Toc498593031"/>
      <w:r>
        <w:rPr>
          <w:rFonts w:hint="eastAsia" w:ascii="仿宋" w:hAnsi="仿宋" w:eastAsia="仿宋" w:cs="仿宋"/>
          <w:b/>
          <w:color w:val="auto"/>
          <w:kern w:val="2"/>
          <w:sz w:val="21"/>
          <w:szCs w:val="21"/>
          <w:highlight w:val="none"/>
          <w:lang w:val="en-US" w:eastAsia="zh-CN" w:bidi="ar-SA"/>
        </w:rPr>
        <w:t>一、</w:t>
      </w:r>
      <w:r>
        <w:rPr>
          <w:rFonts w:hint="eastAsia" w:ascii="仿宋" w:hAnsi="仿宋" w:eastAsia="仿宋" w:cs="仿宋"/>
          <w:b/>
          <w:color w:val="auto"/>
          <w:szCs w:val="21"/>
          <w:highlight w:val="none"/>
        </w:rPr>
        <w:t>项目概述</w:t>
      </w:r>
    </w:p>
    <w:p w14:paraId="37E2E4DC">
      <w:pPr>
        <w:pStyle w:val="54"/>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仿宋" w:hAnsi="仿宋" w:eastAsia="仿宋" w:cs="仿宋"/>
          <w:bCs/>
          <w:color w:val="auto"/>
          <w:sz w:val="24"/>
          <w:szCs w:val="32"/>
          <w:highlight w:val="none"/>
          <w:lang w:val="en-US" w:eastAsia="zh-CN"/>
        </w:rPr>
      </w:pPr>
      <w:r>
        <w:rPr>
          <w:rFonts w:hint="eastAsia" w:ascii="仿宋" w:hAnsi="仿宋" w:eastAsia="仿宋" w:cs="仿宋"/>
          <w:bCs/>
          <w:kern w:val="2"/>
          <w:sz w:val="24"/>
          <w:szCs w:val="32"/>
          <w:highlight w:val="none"/>
          <w:lang w:val="en-US" w:eastAsia="zh-CN" w:bidi="ar-SA"/>
        </w:rPr>
        <w:t>一是在摸清耕林园草湿资源家底的基础上，厘清自然资源部门管理数据、生态环境部门、农业农村部门管理数据与土地利用现状数据间的矛盾冲突，深入分析问题成因，研究解决思路，优化完善耕林园管理边界试化成果。二是划定四川自贡恐龙国家地质公园、四川省飞龙峡省级森林公园登记单元界线并开展地籍调查，明确四川自贡恐龙国家地质公园、四川省飞龙峡省级森林公园自然保护地的范围、面积等自然状况，以及所有权主体、所有权代表行使主体或者代理行使主体、权利内容等权属状况，并关联公共管制要求等信息，建立自然资源地籍调查数据库，完成登簿发证等</w:t>
      </w:r>
      <w:r>
        <w:rPr>
          <w:rFonts w:hint="eastAsia" w:ascii="仿宋" w:hAnsi="仿宋" w:eastAsia="仿宋" w:cs="仿宋"/>
          <w:bCs/>
          <w:color w:val="auto"/>
          <w:sz w:val="24"/>
          <w:szCs w:val="32"/>
          <w:highlight w:val="none"/>
          <w:lang w:val="en-US" w:eastAsia="zh-CN"/>
        </w:rPr>
        <w:t>。自贡市自然资源和规划局拟采购一家供应商实施“自贡市自然资源统一确权（四川自贡恐龙国家地质公园、四川省飞龙峡省级森林公园）项目”。</w:t>
      </w:r>
    </w:p>
    <w:p w14:paraId="7DE54409">
      <w:pPr>
        <w:pStyle w:val="54"/>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仿宋" w:hAnsi="仿宋" w:eastAsia="仿宋" w:cs="仿宋"/>
          <w:color w:val="auto"/>
          <w:szCs w:val="21"/>
          <w:highlight w:val="none"/>
          <w:lang w:val="en-US" w:eastAsia="zh-CN"/>
        </w:rPr>
      </w:pPr>
    </w:p>
    <w:p w14:paraId="60BFE384">
      <w:pPr>
        <w:pStyle w:val="54"/>
        <w:keepNext w:val="0"/>
        <w:keepLines w:val="0"/>
        <w:pageBreakBefore w:val="0"/>
        <w:widowControl/>
        <w:numPr>
          <w:ilvl w:val="0"/>
          <w:numId w:val="0"/>
        </w:numPr>
        <w:kinsoku/>
        <w:wordWrap/>
        <w:overflowPunct/>
        <w:topLinePunct w:val="0"/>
        <w:autoSpaceDE/>
        <w:autoSpaceDN/>
        <w:bidi w:val="0"/>
        <w:adjustRightInd/>
        <w:snapToGrid w:val="0"/>
        <w:spacing w:line="360" w:lineRule="auto"/>
        <w:ind w:left="425" w:leftChars="0" w:hanging="425" w:firstLineChars="0"/>
        <w:jc w:val="left"/>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w:t>
      </w:r>
      <w:r>
        <w:rPr>
          <w:rFonts w:hint="eastAsia" w:ascii="仿宋" w:hAnsi="仿宋" w:eastAsia="仿宋" w:cs="仿宋"/>
          <w:b/>
          <w:color w:val="auto"/>
          <w:kern w:val="2"/>
          <w:sz w:val="21"/>
          <w:szCs w:val="21"/>
          <w:highlight w:val="none"/>
          <w:lang w:val="en-US" w:eastAsia="zh-CN" w:bidi="ar-SA"/>
        </w:rPr>
        <w:t>二、</w:t>
      </w:r>
      <w:r>
        <w:rPr>
          <w:rFonts w:hint="eastAsia" w:ascii="仿宋" w:hAnsi="仿宋" w:eastAsia="仿宋" w:cs="仿宋"/>
          <w:b/>
          <w:color w:val="auto"/>
          <w:szCs w:val="21"/>
          <w:highlight w:val="none"/>
        </w:rPr>
        <w:t>项目清单</w:t>
      </w:r>
    </w:p>
    <w:tbl>
      <w:tblPr>
        <w:tblStyle w:val="2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2"/>
        <w:gridCol w:w="4444"/>
        <w:gridCol w:w="1382"/>
        <w:gridCol w:w="1400"/>
        <w:gridCol w:w="1198"/>
      </w:tblGrid>
      <w:tr w14:paraId="51FD5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69" w:type="pct"/>
            <w:vAlign w:val="center"/>
          </w:tcPr>
          <w:p w14:paraId="6494F590">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标的号</w:t>
            </w:r>
          </w:p>
        </w:tc>
        <w:tc>
          <w:tcPr>
            <w:tcW w:w="2231" w:type="pct"/>
            <w:vAlign w:val="center"/>
          </w:tcPr>
          <w:p w14:paraId="4F58BEF0">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采购标的</w:t>
            </w:r>
          </w:p>
        </w:tc>
        <w:tc>
          <w:tcPr>
            <w:tcW w:w="694" w:type="pct"/>
            <w:vAlign w:val="center"/>
          </w:tcPr>
          <w:p w14:paraId="2EE70DEE">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kern w:val="0"/>
                <w:sz w:val="21"/>
                <w:szCs w:val="21"/>
                <w:highlight w:val="none"/>
                <w:lang w:val="en-US" w:eastAsia="zh-CN"/>
              </w:rPr>
            </w:pPr>
            <w:r>
              <w:rPr>
                <w:rFonts w:hint="eastAsia" w:ascii="仿宋" w:hAnsi="仿宋" w:eastAsia="仿宋" w:cs="仿宋"/>
                <w:b/>
                <w:bCs/>
                <w:color w:val="auto"/>
                <w:kern w:val="0"/>
                <w:sz w:val="21"/>
                <w:szCs w:val="21"/>
                <w:highlight w:val="none"/>
                <w:lang w:val="en-US" w:eastAsia="zh-CN"/>
              </w:rPr>
              <w:t>单位</w:t>
            </w:r>
          </w:p>
        </w:tc>
        <w:tc>
          <w:tcPr>
            <w:tcW w:w="703" w:type="pct"/>
            <w:vAlign w:val="center"/>
          </w:tcPr>
          <w:p w14:paraId="3C3DDA0D">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kern w:val="0"/>
                <w:sz w:val="21"/>
                <w:szCs w:val="21"/>
                <w:highlight w:val="none"/>
                <w:lang w:val="en-US" w:eastAsia="zh-CN"/>
              </w:rPr>
            </w:pPr>
            <w:r>
              <w:rPr>
                <w:rFonts w:hint="eastAsia" w:ascii="仿宋" w:hAnsi="仿宋" w:eastAsia="仿宋" w:cs="仿宋"/>
                <w:b/>
                <w:bCs/>
                <w:color w:val="auto"/>
                <w:kern w:val="0"/>
                <w:sz w:val="21"/>
                <w:szCs w:val="21"/>
                <w:highlight w:val="none"/>
                <w:lang w:val="en-US" w:eastAsia="zh-CN"/>
              </w:rPr>
              <w:t>数量</w:t>
            </w:r>
          </w:p>
        </w:tc>
        <w:tc>
          <w:tcPr>
            <w:tcW w:w="601" w:type="pct"/>
            <w:vAlign w:val="center"/>
          </w:tcPr>
          <w:p w14:paraId="7D87E15E">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kern w:val="0"/>
                <w:sz w:val="21"/>
                <w:szCs w:val="21"/>
                <w:highlight w:val="none"/>
                <w:lang w:val="en-US" w:eastAsia="zh-CN"/>
              </w:rPr>
            </w:pPr>
            <w:r>
              <w:rPr>
                <w:rFonts w:hint="eastAsia" w:ascii="仿宋" w:hAnsi="仿宋" w:eastAsia="仿宋" w:cs="仿宋"/>
                <w:b/>
                <w:bCs/>
                <w:color w:val="auto"/>
                <w:kern w:val="0"/>
                <w:sz w:val="21"/>
                <w:szCs w:val="21"/>
                <w:highlight w:val="none"/>
                <w:lang w:val="en-US" w:eastAsia="zh-CN"/>
              </w:rPr>
              <w:t>备注</w:t>
            </w:r>
          </w:p>
        </w:tc>
      </w:tr>
      <w:tr w14:paraId="398DB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69" w:type="pct"/>
            <w:vAlign w:val="center"/>
          </w:tcPr>
          <w:p w14:paraId="2DBD546D">
            <w:pPr>
              <w:keepNext w:val="0"/>
              <w:keepLines w:val="0"/>
              <w:pageBreakBefore w:val="0"/>
              <w:widowControl/>
              <w:numPr>
                <w:ilvl w:val="0"/>
                <w:numId w:val="19"/>
              </w:numPr>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color w:val="auto"/>
                <w:kern w:val="0"/>
                <w:sz w:val="21"/>
                <w:szCs w:val="21"/>
                <w:highlight w:val="none"/>
              </w:rPr>
            </w:pPr>
          </w:p>
        </w:tc>
        <w:tc>
          <w:tcPr>
            <w:tcW w:w="2231" w:type="pct"/>
            <w:vAlign w:val="center"/>
          </w:tcPr>
          <w:p w14:paraId="49CD2F6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zCs w:val="21"/>
                <w:highlight w:val="none"/>
                <w:lang w:val="en-US" w:eastAsia="zh-CN"/>
              </w:rPr>
              <w:t>自贡市自然资源统一确权（四川自贡恐龙国家地质公园、四川省飞龙峡省级森林公园）项目</w:t>
            </w:r>
          </w:p>
        </w:tc>
        <w:tc>
          <w:tcPr>
            <w:tcW w:w="694" w:type="pct"/>
            <w:vAlign w:val="center"/>
          </w:tcPr>
          <w:p w14:paraId="18E0AD6A">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eastAsia="zh-CN"/>
              </w:rPr>
              <w:t>项</w:t>
            </w:r>
          </w:p>
        </w:tc>
        <w:tc>
          <w:tcPr>
            <w:tcW w:w="703" w:type="pct"/>
            <w:vAlign w:val="center"/>
          </w:tcPr>
          <w:p w14:paraId="796889C6">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1</w:t>
            </w:r>
          </w:p>
        </w:tc>
        <w:tc>
          <w:tcPr>
            <w:tcW w:w="601" w:type="pct"/>
            <w:vAlign w:val="center"/>
          </w:tcPr>
          <w:p w14:paraId="18C7CA0E">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1"/>
                <w:szCs w:val="21"/>
                <w:highlight w:val="none"/>
                <w:lang w:val="en-US" w:eastAsia="zh-CN"/>
              </w:rPr>
            </w:pPr>
          </w:p>
        </w:tc>
      </w:tr>
    </w:tbl>
    <w:p w14:paraId="33C1DAFB">
      <w:pPr>
        <w:pStyle w:val="54"/>
        <w:keepNext w:val="0"/>
        <w:keepLines w:val="0"/>
        <w:pageBreakBefore w:val="0"/>
        <w:widowControl/>
        <w:numPr>
          <w:ilvl w:val="0"/>
          <w:numId w:val="0"/>
        </w:numPr>
        <w:kinsoku/>
        <w:wordWrap/>
        <w:overflowPunct/>
        <w:topLinePunct w:val="0"/>
        <w:autoSpaceDE/>
        <w:autoSpaceDN/>
        <w:bidi w:val="0"/>
        <w:adjustRightInd/>
        <w:snapToGrid w:val="0"/>
        <w:spacing w:line="360" w:lineRule="auto"/>
        <w:ind w:left="425" w:leftChars="0" w:hanging="425" w:firstLineChars="0"/>
        <w:jc w:val="left"/>
        <w:textAlignment w:val="auto"/>
        <w:rPr>
          <w:rFonts w:hint="eastAsia" w:ascii="仿宋" w:hAnsi="仿宋" w:eastAsia="仿宋" w:cs="仿宋"/>
          <w:b/>
          <w:color w:val="auto"/>
          <w:kern w:val="2"/>
          <w:sz w:val="21"/>
          <w:szCs w:val="21"/>
          <w:highlight w:val="none"/>
          <w:lang w:val="en-US" w:eastAsia="zh-CN" w:bidi="ar-SA"/>
        </w:rPr>
      </w:pPr>
    </w:p>
    <w:p w14:paraId="143CA0E7">
      <w:pPr>
        <w:pStyle w:val="54"/>
        <w:keepNext w:val="0"/>
        <w:keepLines w:val="0"/>
        <w:pageBreakBefore w:val="0"/>
        <w:widowControl/>
        <w:numPr>
          <w:ilvl w:val="0"/>
          <w:numId w:val="0"/>
        </w:numPr>
        <w:kinsoku/>
        <w:wordWrap/>
        <w:overflowPunct/>
        <w:topLinePunct w:val="0"/>
        <w:autoSpaceDE/>
        <w:autoSpaceDN/>
        <w:bidi w:val="0"/>
        <w:adjustRightInd/>
        <w:snapToGrid w:val="0"/>
        <w:spacing w:line="360" w:lineRule="auto"/>
        <w:ind w:left="425" w:leftChars="0" w:hanging="425" w:firstLineChars="0"/>
        <w:jc w:val="left"/>
        <w:textAlignment w:val="auto"/>
        <w:rPr>
          <w:rFonts w:hint="eastAsia" w:ascii="仿宋" w:hAnsi="仿宋" w:eastAsia="仿宋" w:cs="仿宋"/>
          <w:b/>
          <w:color w:val="auto"/>
          <w:szCs w:val="21"/>
          <w:highlight w:val="none"/>
          <w:lang w:eastAsia="zh-CN"/>
        </w:rPr>
      </w:pPr>
      <w:r>
        <w:rPr>
          <w:rFonts w:hint="eastAsia" w:ascii="仿宋" w:hAnsi="仿宋" w:eastAsia="仿宋" w:cs="仿宋"/>
          <w:b/>
          <w:color w:val="auto"/>
          <w:szCs w:val="21"/>
          <w:highlight w:val="none"/>
        </w:rPr>
        <w:t>★</w:t>
      </w:r>
      <w:r>
        <w:rPr>
          <w:rFonts w:hint="eastAsia" w:ascii="仿宋" w:hAnsi="仿宋" w:eastAsia="仿宋" w:cs="仿宋"/>
          <w:b/>
          <w:color w:val="auto"/>
          <w:kern w:val="2"/>
          <w:sz w:val="21"/>
          <w:szCs w:val="21"/>
          <w:highlight w:val="none"/>
          <w:lang w:val="en-US" w:eastAsia="zh-CN" w:bidi="ar-SA"/>
        </w:rPr>
        <w:t>三、</w:t>
      </w:r>
      <w:r>
        <w:rPr>
          <w:rFonts w:hint="eastAsia" w:ascii="仿宋" w:hAnsi="仿宋" w:eastAsia="仿宋" w:cs="仿宋"/>
          <w:b/>
          <w:color w:val="auto"/>
          <w:szCs w:val="21"/>
          <w:highlight w:val="none"/>
          <w:lang w:eastAsia="zh-CN"/>
        </w:rPr>
        <w:t>服务内容及要求</w:t>
      </w:r>
    </w:p>
    <w:p w14:paraId="2D381BC7">
      <w:pPr>
        <w:pStyle w:val="2"/>
        <w:keepNext w:val="0"/>
        <w:keepLines w:val="0"/>
        <w:pageBreakBefore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（一）服务内容</w:t>
      </w:r>
    </w:p>
    <w:p w14:paraId="00D6EEBE">
      <w:pPr>
        <w:pStyle w:val="2"/>
        <w:keepNext w:val="0"/>
        <w:keepLines w:val="0"/>
        <w:pageBreakBefore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一是在摸清耕林园资源家底的基础上，厘清自然资源部门管理数据（永久基本农田、已审批建设用地和设施农用地、天然林、公益林、国有林区、退耕还林还草、林权等）、生态环境部门（饮用水水源地一级保护区等）、水务部门管理数据（河湖管理范围等）、农业农村部门管理数据（高标准农田、土地承包经营权等）与土地利用现状数据间的矛盾冲突，以及各部门管理数据之间的矛盾冲突，分类建立台账并落到具体地块图斑，深入分析问题成因，研判解决思路，为制定矛盾冲突处理规则奠定基础。</w:t>
      </w:r>
    </w:p>
    <w:p w14:paraId="57D9A3C8">
      <w:pPr>
        <w:pStyle w:val="2"/>
        <w:keepNext w:val="0"/>
        <w:keepLines w:val="0"/>
        <w:pageBreakBefore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二是制定耕林园管理边界试划规则。按照“宜耕则耕、宜经则经、宜林则林”的工作思路和自贡市管理工作实际，在省级管理边界试划指引基础上，形成自贡市耕林园管理边界试划规则。</w:t>
      </w:r>
    </w:p>
    <w:p w14:paraId="483959C3">
      <w:pPr>
        <w:pStyle w:val="2"/>
        <w:keepNext w:val="0"/>
        <w:keepLines w:val="0"/>
        <w:pageBreakBefore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三是按照国家明确的地类认定标准、年度国土变更调查规则以及耕林园草湿管理矛盾处理规则，进一步处理管理边界矛盾冲突，优化完善耕林园草湿管理边界试划成果。做好耕地占补平衡和国土绿化专项绿化专项规划的基础工作，优化现有耕地保护空间边界。</w:t>
      </w:r>
    </w:p>
    <w:p w14:paraId="0B27A5B7">
      <w:pPr>
        <w:pStyle w:val="2"/>
        <w:keepNext w:val="0"/>
        <w:keepLines w:val="0"/>
        <w:pageBreakBefore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四是指导各区县的耕地林地园地空间治理“一张图”建设工作并对各区县耕地林地园地空间治理“一张图”相关成果开展。</w:t>
      </w:r>
    </w:p>
    <w:p w14:paraId="0A0C4175">
      <w:pPr>
        <w:pStyle w:val="2"/>
        <w:keepNext w:val="0"/>
        <w:keepLines w:val="0"/>
        <w:pageBreakBefore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预划四川自贡恐龙国家地质公园、四川省飞龙峡省级森林公园登记单元。配合自然资源所在地县级以上人民政府发布首次登记通告。通过内业采集和信息提取分析，调查获取登记单元范围内的自然资源自然状况、权属状况，形成初步调查成果。在登记单元调查初步成果上</w:t>
      </w:r>
      <w:bookmarkStart w:id="31" w:name="_Hlk54180909"/>
      <w:r>
        <w:rPr>
          <w:rFonts w:hint="eastAsia" w:ascii="仿宋" w:hAnsi="仿宋" w:eastAsia="仿宋" w:cs="仿宋"/>
          <w:color w:val="auto"/>
          <w:sz w:val="21"/>
          <w:szCs w:val="21"/>
          <w:highlight w:val="none"/>
          <w:lang w:val="en-US" w:eastAsia="zh-CN"/>
        </w:rPr>
        <w:t>关联不动产登记信息、生态保护红线和国土空间规划用途等特殊保护信息、取水许可和排污许可信息以及矿业权信息等内容。</w:t>
      </w:r>
      <w:bookmarkEnd w:id="31"/>
      <w:r>
        <w:rPr>
          <w:rFonts w:hint="eastAsia" w:ascii="仿宋" w:hAnsi="仿宋" w:eastAsia="仿宋" w:cs="仿宋"/>
          <w:color w:val="auto"/>
          <w:sz w:val="21"/>
          <w:szCs w:val="21"/>
          <w:highlight w:val="none"/>
          <w:lang w:val="en-US" w:eastAsia="zh-CN"/>
        </w:rPr>
        <w:t>配合相关部门完成对初步调查成果中的登记单元界线、自然状况、权属状况及关联信息等情况进行核实。将调查核实和外业补充调查形成的调查成果，按照统一的规格和要求，进行整理上图，按照国家标准建立自然资源地籍调查数据库，协助完成登簿发证。</w:t>
      </w:r>
    </w:p>
    <w:p w14:paraId="26195517">
      <w:pPr>
        <w:pStyle w:val="2"/>
        <w:keepNext w:val="0"/>
        <w:keepLines w:val="0"/>
        <w:pageBreakBefore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（二）成果要求</w:t>
      </w:r>
    </w:p>
    <w:p w14:paraId="573814A3">
      <w:pPr>
        <w:pStyle w:val="2"/>
        <w:keepNext w:val="0"/>
        <w:keepLines w:val="0"/>
        <w:pageBreakBefore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提交成果主要包括图件成果、表格成果、文字成果、数据库成果。最终成果应符合《自然资源确权登记操作指南（试行）》和《四川省耕地林地园地空间治理“一张图”建设总体方案》的要求和部、省、市最新要求和规定。</w:t>
      </w:r>
    </w:p>
    <w:p w14:paraId="0D11F0C6">
      <w:pPr>
        <w:pStyle w:val="2"/>
        <w:keepNext w:val="0"/>
        <w:keepLines w:val="0"/>
        <w:pageBreakBefore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（1）四川自贡恐龙国家地质公园、四川省飞龙峡省级森林公园自然资源确权自然资源地籍图、登记单元图。</w:t>
      </w:r>
    </w:p>
    <w:p w14:paraId="61D8CB0A">
      <w:pPr>
        <w:pStyle w:val="2"/>
        <w:keepNext w:val="0"/>
        <w:keepLines w:val="0"/>
        <w:pageBreakBefore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（2）四川自贡恐龙国家地质公园、四川省飞龙峡省级森林公园自然资源确权（初/终）表、调查成果核实表、成果审核表。</w:t>
      </w:r>
    </w:p>
    <w:p w14:paraId="5286EE76">
      <w:pPr>
        <w:pStyle w:val="2"/>
        <w:keepNext w:val="0"/>
        <w:keepLines w:val="0"/>
        <w:pageBreakBefore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（3）四川自贡恐龙国家地质公园、四川省飞龙峡省级森林公园自然资源确权工作报告、技术报告、自贡市耕园林“一张图”治理分析评价报告、工作报告。</w:t>
      </w:r>
    </w:p>
    <w:p w14:paraId="1C38D02F">
      <w:pPr>
        <w:pStyle w:val="2"/>
        <w:keepNext w:val="0"/>
        <w:keepLines w:val="0"/>
        <w:pageBreakBefore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（4）四川自贡恐龙国家地质公园、四川省飞龙峡省级森林公园自然资源确权地籍调查数据库、自贡市耕园林“一张图”数据库成果。</w:t>
      </w:r>
    </w:p>
    <w:p w14:paraId="65180FE5">
      <w:pPr>
        <w:pStyle w:val="2"/>
        <w:numPr>
          <w:ilvl w:val="0"/>
          <w:numId w:val="0"/>
        </w:numPr>
        <w:adjustRightInd w:val="0"/>
        <w:snapToGrid w:val="0"/>
        <w:spacing w:line="360" w:lineRule="auto"/>
        <w:ind w:firstLine="420" w:firstLineChars="200"/>
        <w:rPr>
          <w:rFonts w:hint="eastAsia"/>
          <w:highlight w:val="none"/>
          <w:lang w:val="en-US" w:eastAsia="zh-CN"/>
        </w:rPr>
      </w:pPr>
      <w:r>
        <w:rPr>
          <w:rFonts w:hint="eastAsia" w:ascii="仿宋" w:hAnsi="仿宋" w:eastAsia="仿宋" w:cs="仿宋"/>
          <w:color w:val="auto"/>
          <w:sz w:val="21"/>
          <w:szCs w:val="21"/>
          <w:highlight w:val="none"/>
          <w:lang w:val="en-US" w:eastAsia="zh-CN"/>
        </w:rPr>
        <w:t>（5）部、省要求的其他成果。</w:t>
      </w:r>
    </w:p>
    <w:p w14:paraId="339CB9C8">
      <w:pPr>
        <w:pStyle w:val="54"/>
        <w:keepNext w:val="0"/>
        <w:keepLines w:val="0"/>
        <w:pageBreakBefore w:val="0"/>
        <w:widowControl/>
        <w:numPr>
          <w:ilvl w:val="0"/>
          <w:numId w:val="0"/>
        </w:numPr>
        <w:kinsoku/>
        <w:wordWrap/>
        <w:overflowPunct/>
        <w:topLinePunct w:val="0"/>
        <w:autoSpaceDE/>
        <w:autoSpaceDN/>
        <w:bidi w:val="0"/>
        <w:adjustRightInd/>
        <w:snapToGrid w:val="0"/>
        <w:spacing w:line="360" w:lineRule="auto"/>
        <w:ind w:left="425" w:leftChars="0" w:hanging="425" w:firstLineChars="0"/>
        <w:jc w:val="left"/>
        <w:textAlignment w:val="auto"/>
        <w:rPr>
          <w:rFonts w:hint="eastAsia" w:ascii="仿宋" w:hAnsi="仿宋" w:eastAsia="仿宋" w:cs="仿宋"/>
          <w:b/>
          <w:color w:val="auto"/>
          <w:szCs w:val="21"/>
          <w:highlight w:val="none"/>
        </w:rPr>
      </w:pPr>
    </w:p>
    <w:p w14:paraId="44598F97">
      <w:pPr>
        <w:pStyle w:val="54"/>
        <w:keepNext w:val="0"/>
        <w:keepLines w:val="0"/>
        <w:pageBreakBefore w:val="0"/>
        <w:widowControl/>
        <w:numPr>
          <w:ilvl w:val="0"/>
          <w:numId w:val="0"/>
        </w:numPr>
        <w:kinsoku/>
        <w:wordWrap/>
        <w:overflowPunct/>
        <w:topLinePunct w:val="0"/>
        <w:autoSpaceDE/>
        <w:autoSpaceDN/>
        <w:bidi w:val="0"/>
        <w:adjustRightInd/>
        <w:snapToGrid w:val="0"/>
        <w:spacing w:line="360" w:lineRule="auto"/>
        <w:ind w:left="425" w:leftChars="0" w:hanging="425" w:firstLineChars="0"/>
        <w:jc w:val="left"/>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w:t>
      </w:r>
      <w:r>
        <w:rPr>
          <w:rFonts w:hint="eastAsia" w:ascii="仿宋" w:hAnsi="仿宋" w:eastAsia="仿宋" w:cs="仿宋"/>
          <w:b/>
          <w:color w:val="auto"/>
          <w:kern w:val="2"/>
          <w:sz w:val="21"/>
          <w:szCs w:val="21"/>
          <w:highlight w:val="none"/>
          <w:lang w:val="en-US" w:eastAsia="zh-CN" w:bidi="ar-SA"/>
        </w:rPr>
        <w:t>四、</w:t>
      </w:r>
      <w:r>
        <w:rPr>
          <w:rFonts w:hint="eastAsia" w:ascii="仿宋" w:hAnsi="仿宋" w:eastAsia="仿宋" w:cs="仿宋"/>
          <w:b/>
          <w:color w:val="auto"/>
          <w:szCs w:val="21"/>
          <w:highlight w:val="none"/>
          <w:lang w:eastAsia="zh-CN"/>
        </w:rPr>
        <w:t>商务</w:t>
      </w:r>
      <w:r>
        <w:rPr>
          <w:rFonts w:hint="eastAsia" w:ascii="仿宋" w:hAnsi="仿宋" w:eastAsia="仿宋" w:cs="仿宋"/>
          <w:b/>
          <w:color w:val="auto"/>
          <w:szCs w:val="21"/>
          <w:highlight w:val="none"/>
        </w:rPr>
        <w:t>要求</w:t>
      </w:r>
    </w:p>
    <w:p w14:paraId="40EBF2AD">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2"/>
          <w:sz w:val="21"/>
          <w:szCs w:val="21"/>
          <w:highlight w:val="none"/>
          <w:lang w:val="en-US" w:eastAsia="zh-CN" w:bidi="ar-SA"/>
        </w:rPr>
        <w:t>1、</w:t>
      </w:r>
      <w:r>
        <w:rPr>
          <w:rFonts w:hint="eastAsia" w:ascii="仿宋" w:hAnsi="仿宋" w:eastAsia="仿宋" w:cs="仿宋"/>
          <w:color w:val="auto"/>
          <w:sz w:val="21"/>
          <w:szCs w:val="21"/>
          <w:highlight w:val="none"/>
          <w:lang w:eastAsia="zh-CN"/>
        </w:rPr>
        <w:t>合同签订时间：</w:t>
      </w:r>
      <w:r>
        <w:rPr>
          <w:rFonts w:hint="eastAsia" w:ascii="仿宋" w:hAnsi="仿宋" w:eastAsia="仿宋" w:cs="仿宋"/>
          <w:color w:val="auto"/>
          <w:sz w:val="21"/>
          <w:szCs w:val="21"/>
          <w:highlight w:val="none"/>
          <w:lang w:val="en-US" w:eastAsia="zh-CN"/>
        </w:rPr>
        <w:t>成交通知书发出之日起30日内。</w:t>
      </w:r>
    </w:p>
    <w:p w14:paraId="51D28691">
      <w:pPr>
        <w:pStyle w:val="2"/>
        <w:keepNext w:val="0"/>
        <w:keepLines w:val="0"/>
        <w:pageBreakBefore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eastAsia="zh-CN"/>
        </w:rPr>
        <w:t>服务</w:t>
      </w:r>
      <w:r>
        <w:rPr>
          <w:rFonts w:hint="eastAsia" w:ascii="仿宋" w:hAnsi="仿宋" w:eastAsia="仿宋" w:cs="仿宋"/>
          <w:color w:val="auto"/>
          <w:sz w:val="21"/>
          <w:szCs w:val="21"/>
          <w:highlight w:val="none"/>
        </w:rPr>
        <w:t>地点</w:t>
      </w:r>
      <w:r>
        <w:rPr>
          <w:rFonts w:hint="eastAsia" w:ascii="仿宋" w:hAnsi="仿宋" w:eastAsia="仿宋" w:cs="仿宋"/>
          <w:color w:val="auto"/>
          <w:sz w:val="21"/>
          <w:szCs w:val="21"/>
          <w:highlight w:val="none"/>
          <w:lang w:eastAsia="zh-CN"/>
        </w:rPr>
        <w:t>：采购人指定地点</w:t>
      </w:r>
      <w:r>
        <w:rPr>
          <w:rFonts w:hint="eastAsia" w:ascii="仿宋" w:hAnsi="仿宋" w:eastAsia="仿宋" w:cs="仿宋"/>
          <w:color w:val="auto"/>
          <w:sz w:val="21"/>
          <w:szCs w:val="21"/>
          <w:highlight w:val="none"/>
          <w:lang w:val="en-US" w:eastAsia="zh-CN"/>
        </w:rPr>
        <w:t>。</w:t>
      </w:r>
    </w:p>
    <w:p w14:paraId="17F1A4D2">
      <w:pPr>
        <w:pStyle w:val="2"/>
        <w:keepNext w:val="0"/>
        <w:keepLines w:val="0"/>
        <w:pageBreakBefore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eastAsia="zh-CN"/>
        </w:rPr>
        <w:t>服务期限：202</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lang w:eastAsia="zh-CN"/>
        </w:rPr>
        <w:t>年</w:t>
      </w:r>
      <w:r>
        <w:rPr>
          <w:rFonts w:hint="eastAsia" w:ascii="仿宋" w:hAnsi="仿宋" w:eastAsia="仿宋" w:cs="仿宋"/>
          <w:color w:val="auto"/>
          <w:sz w:val="21"/>
          <w:szCs w:val="21"/>
          <w:highlight w:val="none"/>
          <w:lang w:val="en-US" w:eastAsia="zh-CN"/>
        </w:rPr>
        <w:t>12</w:t>
      </w:r>
      <w:r>
        <w:rPr>
          <w:rFonts w:hint="eastAsia" w:ascii="仿宋" w:hAnsi="仿宋" w:eastAsia="仿宋" w:cs="仿宋"/>
          <w:color w:val="auto"/>
          <w:sz w:val="21"/>
          <w:szCs w:val="21"/>
          <w:highlight w:val="none"/>
          <w:lang w:eastAsia="zh-CN"/>
        </w:rPr>
        <w:t>月</w:t>
      </w:r>
      <w:r>
        <w:rPr>
          <w:rFonts w:hint="eastAsia" w:ascii="仿宋" w:hAnsi="仿宋" w:eastAsia="仿宋" w:cs="仿宋"/>
          <w:color w:val="auto"/>
          <w:sz w:val="21"/>
          <w:szCs w:val="21"/>
          <w:highlight w:val="none"/>
          <w:lang w:val="en-US" w:eastAsia="zh-CN"/>
        </w:rPr>
        <w:t>30</w:t>
      </w:r>
      <w:r>
        <w:rPr>
          <w:rFonts w:hint="eastAsia" w:ascii="仿宋" w:hAnsi="仿宋" w:eastAsia="仿宋" w:cs="仿宋"/>
          <w:color w:val="auto"/>
          <w:sz w:val="21"/>
          <w:szCs w:val="21"/>
          <w:highlight w:val="none"/>
          <w:lang w:eastAsia="zh-CN"/>
        </w:rPr>
        <w:t>日前完成主体工作任务，向采购人提交成果，并提供自验收后一年的服务期</w:t>
      </w:r>
      <w:r>
        <w:rPr>
          <w:rFonts w:hint="eastAsia" w:ascii="仿宋" w:hAnsi="仿宋" w:eastAsia="仿宋" w:cs="仿宋"/>
          <w:color w:val="auto"/>
          <w:sz w:val="21"/>
          <w:szCs w:val="21"/>
          <w:highlight w:val="none"/>
          <w:lang w:val="en-US" w:eastAsia="zh-CN"/>
        </w:rPr>
        <w:t>。</w:t>
      </w:r>
    </w:p>
    <w:p w14:paraId="54C0D353">
      <w:pPr>
        <w:pStyle w:val="2"/>
        <w:keepNext w:val="0"/>
        <w:keepLines w:val="0"/>
        <w:pageBreakBefore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付款方式</w:t>
      </w:r>
      <w:r>
        <w:rPr>
          <w:rFonts w:hint="eastAsia" w:ascii="仿宋" w:hAnsi="仿宋" w:eastAsia="仿宋" w:cs="仿宋"/>
          <w:color w:val="auto"/>
          <w:sz w:val="21"/>
          <w:szCs w:val="21"/>
          <w:highlight w:val="none"/>
          <w:lang w:eastAsia="zh-CN"/>
        </w:rPr>
        <w:t>：签订合同后支付合同金额的</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lang w:eastAsia="zh-CN"/>
        </w:rPr>
        <w:t>0%；向采购人提交项目成果后采购人支付合同金额剩下的50%</w:t>
      </w:r>
      <w:r>
        <w:rPr>
          <w:rFonts w:hint="eastAsia" w:ascii="仿宋" w:hAnsi="仿宋" w:eastAsia="仿宋" w:cs="仿宋"/>
          <w:color w:val="auto"/>
          <w:sz w:val="21"/>
          <w:szCs w:val="21"/>
          <w:highlight w:val="none"/>
          <w:lang w:val="en-US" w:eastAsia="zh-CN"/>
        </w:rPr>
        <w:t>。</w:t>
      </w:r>
    </w:p>
    <w:p w14:paraId="455B801B">
      <w:pPr>
        <w:pStyle w:val="79"/>
        <w:keepNext w:val="0"/>
        <w:keepLines w:val="0"/>
        <w:pageBreakBefore w:val="0"/>
        <w:shd w:val="clear"/>
        <w:kinsoku/>
        <w:wordWrap/>
        <w:overflowPunct/>
        <w:topLinePunct w:val="0"/>
        <w:autoSpaceDE/>
        <w:autoSpaceDN/>
        <w:bidi w:val="0"/>
        <w:adjustRightInd w:val="0"/>
        <w:snapToGrid w:val="0"/>
        <w:spacing w:line="360" w:lineRule="auto"/>
        <w:ind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人员配置</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应为本项目进行人员配置，配备相关负责人、安排专业技术人员参加本项目。</w:t>
      </w:r>
    </w:p>
    <w:p w14:paraId="637770AC">
      <w:pPr>
        <w:pStyle w:val="79"/>
        <w:keepNext w:val="0"/>
        <w:keepLines w:val="0"/>
        <w:pageBreakBefore w:val="0"/>
        <w:shd w:val="clear"/>
        <w:kinsoku/>
        <w:wordWrap/>
        <w:overflowPunct/>
        <w:topLinePunct w:val="0"/>
        <w:autoSpaceDE/>
        <w:autoSpaceDN/>
        <w:bidi w:val="0"/>
        <w:adjustRightInd w:val="0"/>
        <w:snapToGrid w:val="0"/>
        <w:spacing w:line="360" w:lineRule="auto"/>
        <w:ind w:firstLine="420" w:firstLineChars="200"/>
        <w:jc w:val="both"/>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售后服务</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应对售后服务进行承诺,售后服务期为1年。</w:t>
      </w:r>
      <w:r>
        <w:rPr>
          <w:rFonts w:hint="eastAsia" w:ascii="仿宋" w:hAnsi="仿宋" w:eastAsia="仿宋" w:cs="仿宋"/>
          <w:color w:val="auto"/>
          <w:sz w:val="21"/>
          <w:szCs w:val="21"/>
          <w:highlight w:val="none"/>
          <w:lang w:eastAsia="zh-CN"/>
        </w:rPr>
        <w:t>（提供承诺，函格式自拟）</w:t>
      </w:r>
    </w:p>
    <w:p w14:paraId="2CE237EA">
      <w:pPr>
        <w:pStyle w:val="79"/>
        <w:keepNext w:val="0"/>
        <w:keepLines w:val="0"/>
        <w:pageBreakBefore w:val="0"/>
        <w:shd w:val="clear"/>
        <w:kinsoku/>
        <w:wordWrap/>
        <w:overflowPunct/>
        <w:topLinePunct w:val="0"/>
        <w:autoSpaceDE/>
        <w:autoSpaceDN/>
        <w:bidi w:val="0"/>
        <w:adjustRightInd w:val="0"/>
        <w:snapToGrid w:val="0"/>
        <w:spacing w:line="360" w:lineRule="auto"/>
        <w:ind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rPr>
        <w:t>其他要求</w:t>
      </w:r>
    </w:p>
    <w:p w14:paraId="08DE97E5">
      <w:pPr>
        <w:pStyle w:val="79"/>
        <w:keepNext w:val="0"/>
        <w:keepLines w:val="0"/>
        <w:pageBreakBefore w:val="0"/>
        <w:shd w:val="clear"/>
        <w:kinsoku/>
        <w:wordWrap/>
        <w:overflowPunct/>
        <w:topLinePunct w:val="0"/>
        <w:autoSpaceDE/>
        <w:autoSpaceDN/>
        <w:bidi w:val="0"/>
        <w:adjustRightInd w:val="0"/>
        <w:snapToGrid w:val="0"/>
        <w:spacing w:line="360" w:lineRule="auto"/>
        <w:ind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eastAsia="zh-CN"/>
        </w:rPr>
        <w:t>）成交供应商</w:t>
      </w:r>
      <w:r>
        <w:rPr>
          <w:rFonts w:hint="eastAsia" w:ascii="仿宋" w:hAnsi="仿宋" w:eastAsia="仿宋" w:cs="仿宋"/>
          <w:color w:val="auto"/>
          <w:sz w:val="21"/>
          <w:szCs w:val="21"/>
          <w:highlight w:val="none"/>
        </w:rPr>
        <w:t>应按采购人要求，按时完成工作内容。必要时须按照采购人要求在规定时间、指定地点完成相关任务。</w:t>
      </w:r>
    </w:p>
    <w:p w14:paraId="39927F44">
      <w:pPr>
        <w:pStyle w:val="79"/>
        <w:keepNext w:val="0"/>
        <w:keepLines w:val="0"/>
        <w:pageBreakBefore w:val="0"/>
        <w:shd w:val="clear"/>
        <w:kinsoku/>
        <w:wordWrap/>
        <w:overflowPunct/>
        <w:topLinePunct w:val="0"/>
        <w:autoSpaceDE/>
        <w:autoSpaceDN/>
        <w:bidi w:val="0"/>
        <w:adjustRightInd w:val="0"/>
        <w:snapToGrid w:val="0"/>
        <w:spacing w:line="360" w:lineRule="auto"/>
        <w:ind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eastAsia="zh-CN"/>
        </w:rPr>
        <w:t>）成交供应商</w:t>
      </w:r>
      <w:r>
        <w:rPr>
          <w:rFonts w:hint="eastAsia" w:ascii="仿宋" w:hAnsi="仿宋" w:eastAsia="仿宋" w:cs="仿宋"/>
          <w:color w:val="auto"/>
          <w:sz w:val="21"/>
          <w:szCs w:val="21"/>
          <w:highlight w:val="none"/>
        </w:rPr>
        <w:t>在项目实施过程中，必须严格遵守采购人的相关管理制度，并按照要求签订保密协议。如有泄密、不遵守保密工作纪律等不法行为，由此造成的一切后果及法律责任由</w:t>
      </w:r>
      <w:r>
        <w:rPr>
          <w:rFonts w:hint="eastAsia" w:ascii="仿宋" w:hAnsi="仿宋" w:eastAsia="仿宋" w:cs="仿宋"/>
          <w:color w:val="auto"/>
          <w:sz w:val="21"/>
          <w:szCs w:val="21"/>
          <w:highlight w:val="none"/>
          <w:lang w:eastAsia="zh-CN"/>
        </w:rPr>
        <w:t>成交供应商</w:t>
      </w:r>
      <w:r>
        <w:rPr>
          <w:rFonts w:hint="eastAsia" w:ascii="仿宋" w:hAnsi="仿宋" w:eastAsia="仿宋" w:cs="仿宋"/>
          <w:color w:val="auto"/>
          <w:sz w:val="21"/>
          <w:szCs w:val="21"/>
          <w:highlight w:val="none"/>
        </w:rPr>
        <w:t>承担。</w:t>
      </w:r>
    </w:p>
    <w:p w14:paraId="07C1684A">
      <w:pPr>
        <w:pStyle w:val="79"/>
        <w:keepNext w:val="0"/>
        <w:keepLines w:val="0"/>
        <w:pageBreakBefore w:val="0"/>
        <w:shd w:val="clear"/>
        <w:kinsoku/>
        <w:wordWrap/>
        <w:overflowPunct/>
        <w:topLinePunct w:val="0"/>
        <w:autoSpaceDE/>
        <w:autoSpaceDN/>
        <w:bidi w:val="0"/>
        <w:adjustRightInd w:val="0"/>
        <w:snapToGrid w:val="0"/>
        <w:spacing w:line="360" w:lineRule="auto"/>
        <w:ind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项目执行过程中，</w:t>
      </w:r>
      <w:r>
        <w:rPr>
          <w:rFonts w:hint="eastAsia" w:ascii="仿宋" w:hAnsi="仿宋" w:eastAsia="仿宋" w:cs="仿宋"/>
          <w:color w:val="auto"/>
          <w:sz w:val="21"/>
          <w:szCs w:val="21"/>
          <w:highlight w:val="none"/>
          <w:lang w:eastAsia="zh-CN"/>
        </w:rPr>
        <w:t>成交供应商</w:t>
      </w:r>
      <w:r>
        <w:rPr>
          <w:rFonts w:hint="eastAsia" w:ascii="仿宋" w:hAnsi="仿宋" w:eastAsia="仿宋" w:cs="仿宋"/>
          <w:color w:val="auto"/>
          <w:sz w:val="21"/>
          <w:szCs w:val="21"/>
          <w:highlight w:val="none"/>
        </w:rPr>
        <w:t>违反</w:t>
      </w:r>
      <w:r>
        <w:rPr>
          <w:rFonts w:hint="eastAsia" w:ascii="仿宋" w:hAnsi="仿宋" w:eastAsia="仿宋" w:cs="仿宋"/>
          <w:color w:val="auto"/>
          <w:sz w:val="21"/>
          <w:szCs w:val="21"/>
          <w:highlight w:val="none"/>
          <w:lang w:eastAsia="zh-CN"/>
        </w:rPr>
        <w:t>采购</w:t>
      </w:r>
      <w:r>
        <w:rPr>
          <w:rFonts w:hint="eastAsia" w:ascii="仿宋" w:hAnsi="仿宋" w:eastAsia="仿宋" w:cs="仿宋"/>
          <w:color w:val="auto"/>
          <w:sz w:val="21"/>
          <w:szCs w:val="21"/>
          <w:highlight w:val="none"/>
        </w:rPr>
        <w:t>文件和合同规定的，采购人有权要求</w:t>
      </w:r>
      <w:r>
        <w:rPr>
          <w:rFonts w:hint="eastAsia" w:ascii="仿宋" w:hAnsi="仿宋" w:eastAsia="仿宋" w:cs="仿宋"/>
          <w:color w:val="auto"/>
          <w:sz w:val="21"/>
          <w:szCs w:val="21"/>
          <w:highlight w:val="none"/>
          <w:lang w:eastAsia="zh-CN"/>
        </w:rPr>
        <w:t>成交供应商</w:t>
      </w:r>
      <w:r>
        <w:rPr>
          <w:rFonts w:hint="eastAsia" w:ascii="仿宋" w:hAnsi="仿宋" w:eastAsia="仿宋" w:cs="仿宋"/>
          <w:color w:val="auto"/>
          <w:sz w:val="21"/>
          <w:szCs w:val="21"/>
          <w:highlight w:val="none"/>
        </w:rPr>
        <w:t>退回项目经费，由此带来的一切后果由</w:t>
      </w:r>
      <w:r>
        <w:rPr>
          <w:rFonts w:hint="eastAsia" w:ascii="仿宋" w:hAnsi="仿宋" w:eastAsia="仿宋" w:cs="仿宋"/>
          <w:color w:val="auto"/>
          <w:sz w:val="21"/>
          <w:szCs w:val="21"/>
          <w:highlight w:val="none"/>
          <w:lang w:eastAsia="zh-CN"/>
        </w:rPr>
        <w:t>成交供应商</w:t>
      </w:r>
      <w:r>
        <w:rPr>
          <w:rFonts w:hint="eastAsia" w:ascii="仿宋" w:hAnsi="仿宋" w:eastAsia="仿宋" w:cs="仿宋"/>
          <w:color w:val="auto"/>
          <w:sz w:val="21"/>
          <w:szCs w:val="21"/>
          <w:highlight w:val="none"/>
        </w:rPr>
        <w:t>承担。</w:t>
      </w:r>
    </w:p>
    <w:p w14:paraId="1B9A333D">
      <w:pPr>
        <w:pStyle w:val="79"/>
        <w:keepNext w:val="0"/>
        <w:keepLines w:val="0"/>
        <w:pageBreakBefore w:val="0"/>
        <w:shd w:val="clear"/>
        <w:kinsoku/>
        <w:wordWrap/>
        <w:overflowPunct/>
        <w:topLinePunct w:val="0"/>
        <w:autoSpaceDE/>
        <w:autoSpaceDN/>
        <w:bidi w:val="0"/>
        <w:adjustRightInd w:val="0"/>
        <w:snapToGrid w:val="0"/>
        <w:spacing w:line="360" w:lineRule="auto"/>
        <w:ind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项目执行过程中发生的印刷费用、设备费用、交通费用以及相关差旅费用由</w:t>
      </w:r>
      <w:r>
        <w:rPr>
          <w:rFonts w:hint="eastAsia" w:ascii="仿宋" w:hAnsi="仿宋" w:eastAsia="仿宋" w:cs="仿宋"/>
          <w:color w:val="auto"/>
          <w:sz w:val="21"/>
          <w:szCs w:val="21"/>
          <w:highlight w:val="none"/>
          <w:lang w:eastAsia="zh-CN"/>
        </w:rPr>
        <w:t>成交供应商</w:t>
      </w:r>
      <w:r>
        <w:rPr>
          <w:rFonts w:hint="eastAsia" w:ascii="仿宋" w:hAnsi="仿宋" w:eastAsia="仿宋" w:cs="仿宋"/>
          <w:color w:val="auto"/>
          <w:sz w:val="21"/>
          <w:szCs w:val="21"/>
          <w:highlight w:val="none"/>
        </w:rPr>
        <w:t>承担。</w:t>
      </w:r>
      <w:bookmarkStart w:id="32" w:name="_Toc495254168"/>
    </w:p>
    <w:bookmarkEnd w:id="32"/>
    <w:p w14:paraId="582F693A">
      <w:pPr>
        <w:pStyle w:val="79"/>
        <w:keepNext w:val="0"/>
        <w:keepLines w:val="0"/>
        <w:pageBreakBefore w:val="0"/>
        <w:shd w:val="clear"/>
        <w:kinsoku/>
        <w:wordWrap/>
        <w:overflowPunct/>
        <w:topLinePunct w:val="0"/>
        <w:autoSpaceDE/>
        <w:autoSpaceDN/>
        <w:bidi w:val="0"/>
        <w:adjustRightInd w:val="0"/>
        <w:snapToGrid w:val="0"/>
        <w:spacing w:line="360" w:lineRule="auto"/>
        <w:ind w:firstLine="420" w:firstLineChars="200"/>
        <w:jc w:val="both"/>
        <w:textAlignment w:val="auto"/>
        <w:rPr>
          <w:rFonts w:hint="eastAsia" w:ascii="仿宋" w:hAnsi="仿宋" w:eastAsia="仿宋" w:cs="仿宋"/>
          <w:color w:val="auto"/>
          <w:sz w:val="21"/>
          <w:szCs w:val="21"/>
          <w:highlight w:val="none"/>
        </w:rPr>
      </w:pPr>
    </w:p>
    <w:p w14:paraId="556A409A">
      <w:pPr>
        <w:pStyle w:val="79"/>
        <w:keepNext w:val="0"/>
        <w:keepLines w:val="0"/>
        <w:pageBreakBefore w:val="0"/>
        <w:shd w:val="clear"/>
        <w:kinsoku/>
        <w:wordWrap/>
        <w:overflowPunct/>
        <w:topLinePunct w:val="0"/>
        <w:autoSpaceDE/>
        <w:autoSpaceDN/>
        <w:bidi w:val="0"/>
        <w:adjustRightInd w:val="0"/>
        <w:snapToGrid w:val="0"/>
        <w:spacing w:line="360" w:lineRule="auto"/>
        <w:ind w:firstLine="420" w:firstLineChars="20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8、验收要求：按国家相关规定、谈判文件的服务质量要求、成交的响应文件及承诺以及合同约定标准进行验收。</w:t>
      </w:r>
    </w:p>
    <w:p w14:paraId="3E65C654">
      <w:pPr>
        <w:pStyle w:val="2"/>
        <w:numPr>
          <w:ilvl w:val="0"/>
          <w:numId w:val="0"/>
        </w:numPr>
        <w:ind w:firstLine="630" w:firstLineChars="0"/>
        <w:rPr>
          <w:rFonts w:hint="eastAsia" w:ascii="仿宋" w:hAnsi="仿宋" w:eastAsia="仿宋" w:cs="仿宋"/>
          <w:color w:val="auto"/>
          <w:sz w:val="21"/>
          <w:szCs w:val="21"/>
          <w:highlight w:val="none"/>
          <w:lang w:val="en-US" w:eastAsia="zh-CN"/>
        </w:rPr>
      </w:pPr>
    </w:p>
    <w:p w14:paraId="63747F54">
      <w:pPr>
        <w:pStyle w:val="2"/>
        <w:numPr>
          <w:ilvl w:val="0"/>
          <w:numId w:val="0"/>
        </w:numPr>
        <w:ind w:firstLine="63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说明：本章中标注“★”号的条款为实质性要求，在谈判结束后应全部满足，否则其响应文件按无效处理。</w:t>
      </w:r>
    </w:p>
    <w:p w14:paraId="207AE3CF">
      <w:pPr>
        <w:pStyle w:val="2"/>
        <w:numPr>
          <w:ilvl w:val="0"/>
          <w:numId w:val="0"/>
        </w:numPr>
        <w:ind w:firstLine="63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br w:type="page"/>
      </w:r>
    </w:p>
    <w:bookmarkEnd w:id="24"/>
    <w:bookmarkEnd w:id="25"/>
    <w:bookmarkEnd w:id="26"/>
    <w:bookmarkEnd w:id="27"/>
    <w:p w14:paraId="4BD327D9">
      <w:pPr>
        <w:pStyle w:val="3"/>
        <w:spacing w:line="240" w:lineRule="auto"/>
        <w:jc w:val="center"/>
        <w:rPr>
          <w:rFonts w:hint="eastAsia" w:ascii="仿宋" w:hAnsi="仿宋" w:eastAsia="仿宋" w:cs="仿宋"/>
          <w:color w:val="auto"/>
          <w:sz w:val="32"/>
          <w:szCs w:val="32"/>
          <w:highlight w:val="none"/>
        </w:rPr>
      </w:pPr>
      <w:bookmarkStart w:id="33" w:name="_Toc31105"/>
      <w:bookmarkStart w:id="34" w:name="_Toc74844144"/>
      <w:bookmarkStart w:id="35" w:name="_Toc71717162"/>
      <w:r>
        <w:rPr>
          <w:rFonts w:hint="eastAsia" w:ascii="仿宋" w:hAnsi="仿宋" w:eastAsia="仿宋" w:cs="仿宋"/>
          <w:color w:val="auto"/>
          <w:sz w:val="32"/>
          <w:szCs w:val="32"/>
          <w:highlight w:val="none"/>
        </w:rPr>
        <w:t>第六章  谈判内容、谈判过程中可</w:t>
      </w:r>
      <w:r>
        <w:rPr>
          <w:rFonts w:hint="eastAsia" w:ascii="仿宋" w:hAnsi="仿宋" w:eastAsia="仿宋" w:cs="仿宋"/>
          <w:color w:val="auto"/>
          <w:sz w:val="32"/>
          <w:szCs w:val="32"/>
          <w:highlight w:val="none"/>
          <w:lang w:eastAsia="zh-CN"/>
        </w:rPr>
        <w:t>能</w:t>
      </w:r>
      <w:r>
        <w:rPr>
          <w:rFonts w:hint="eastAsia" w:ascii="仿宋" w:hAnsi="仿宋" w:eastAsia="仿宋" w:cs="仿宋"/>
          <w:color w:val="auto"/>
          <w:sz w:val="32"/>
          <w:szCs w:val="32"/>
          <w:highlight w:val="none"/>
        </w:rPr>
        <w:t>实质性变动的内容</w:t>
      </w:r>
      <w:bookmarkEnd w:id="33"/>
      <w:bookmarkEnd w:id="34"/>
      <w:bookmarkEnd w:id="35"/>
    </w:p>
    <w:p w14:paraId="5E0E82F8">
      <w:pPr>
        <w:pStyle w:val="2"/>
        <w:numPr>
          <w:ilvl w:val="0"/>
          <w:numId w:val="20"/>
        </w:numPr>
        <w:spacing w:line="400" w:lineRule="exact"/>
        <w:rPr>
          <w:rFonts w:hint="eastAsia" w:ascii="仿宋" w:hAnsi="仿宋" w:eastAsia="仿宋" w:cs="仿宋"/>
          <w:color w:val="auto"/>
          <w:sz w:val="21"/>
          <w:highlight w:val="none"/>
        </w:rPr>
      </w:pPr>
      <w:r>
        <w:rPr>
          <w:rFonts w:hint="eastAsia" w:ascii="仿宋" w:hAnsi="仿宋" w:eastAsia="仿宋" w:cs="仿宋"/>
          <w:color w:val="auto"/>
          <w:sz w:val="21"/>
          <w:highlight w:val="none"/>
        </w:rPr>
        <w:t>在谈判过程中，谈判小组根据项目实际需要制定谈判内容，在获得采购人代表确认的前提下，可以根据谈判情况实质性变动第五章中标注“★”号的条款以及第</w:t>
      </w:r>
      <w:r>
        <w:rPr>
          <w:rFonts w:hint="eastAsia" w:ascii="仿宋" w:hAnsi="仿宋" w:eastAsia="仿宋" w:cs="仿宋"/>
          <w:color w:val="auto"/>
          <w:sz w:val="21"/>
          <w:highlight w:val="none"/>
          <w:lang w:eastAsia="zh-CN"/>
        </w:rPr>
        <w:t>九</w:t>
      </w:r>
      <w:r>
        <w:rPr>
          <w:rFonts w:hint="eastAsia" w:ascii="仿宋" w:hAnsi="仿宋" w:eastAsia="仿宋" w:cs="仿宋"/>
          <w:color w:val="auto"/>
          <w:sz w:val="21"/>
          <w:highlight w:val="none"/>
        </w:rPr>
        <w:t>章合同草案条款。</w:t>
      </w:r>
    </w:p>
    <w:p w14:paraId="096EA01E">
      <w:pPr>
        <w:pStyle w:val="2"/>
        <w:numPr>
          <w:ilvl w:val="0"/>
          <w:numId w:val="20"/>
        </w:numPr>
        <w:spacing w:line="400" w:lineRule="exact"/>
        <w:rPr>
          <w:rFonts w:hint="eastAsia" w:ascii="仿宋" w:hAnsi="仿宋" w:eastAsia="仿宋" w:cs="仿宋"/>
          <w:color w:val="auto"/>
          <w:sz w:val="21"/>
          <w:highlight w:val="none"/>
        </w:rPr>
      </w:pPr>
      <w:r>
        <w:rPr>
          <w:rFonts w:hint="eastAsia" w:ascii="仿宋" w:hAnsi="仿宋" w:eastAsia="仿宋" w:cs="仿宋"/>
          <w:color w:val="auto"/>
          <w:sz w:val="21"/>
          <w:highlight w:val="none"/>
        </w:rPr>
        <w:t>谈判小组对谈判文件作出的实质性变动是谈判文件的有效组成部分，谈判小组应及时以书面形式通知所有参加谈判的供应商。</w:t>
      </w:r>
    </w:p>
    <w:p w14:paraId="7A390C5D">
      <w:pPr>
        <w:pStyle w:val="2"/>
        <w:numPr>
          <w:ilvl w:val="0"/>
          <w:numId w:val="20"/>
        </w:numPr>
        <w:spacing w:line="400" w:lineRule="exact"/>
        <w:rPr>
          <w:rFonts w:hint="eastAsia" w:ascii="仿宋" w:hAnsi="仿宋" w:eastAsia="仿宋" w:cs="仿宋"/>
          <w:color w:val="auto"/>
          <w:sz w:val="21"/>
          <w:highlight w:val="none"/>
        </w:rPr>
      </w:pPr>
      <w:r>
        <w:rPr>
          <w:rFonts w:hint="eastAsia" w:ascii="仿宋" w:hAnsi="仿宋" w:eastAsia="仿宋" w:cs="仿宋"/>
          <w:color w:val="auto"/>
          <w:sz w:val="21"/>
          <w:highlight w:val="none"/>
        </w:rPr>
        <w:t>项目清单不属于谈判过程中可以实质性变动的内容。</w:t>
      </w:r>
    </w:p>
    <w:p w14:paraId="28F52388">
      <w:pPr>
        <w:rPr>
          <w:rFonts w:hint="eastAsia" w:ascii="仿宋" w:hAnsi="仿宋" w:eastAsia="仿宋" w:cs="仿宋"/>
          <w:color w:val="auto"/>
          <w:sz w:val="32"/>
          <w:szCs w:val="32"/>
          <w:highlight w:val="none"/>
        </w:rPr>
      </w:pPr>
      <w:bookmarkStart w:id="36" w:name="_Toc28166"/>
      <w:bookmarkStart w:id="37" w:name="_Toc74844145"/>
      <w:r>
        <w:rPr>
          <w:rFonts w:hint="eastAsia" w:ascii="仿宋" w:hAnsi="仿宋" w:eastAsia="仿宋" w:cs="仿宋"/>
          <w:color w:val="auto"/>
          <w:sz w:val="32"/>
          <w:szCs w:val="32"/>
          <w:highlight w:val="none"/>
        </w:rPr>
        <w:br w:type="page"/>
      </w:r>
    </w:p>
    <w:p w14:paraId="0618622E">
      <w:pPr>
        <w:pStyle w:val="3"/>
        <w:spacing w:line="24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第七章  响应文件格式</w:t>
      </w:r>
      <w:bookmarkEnd w:id="36"/>
      <w:bookmarkEnd w:id="37"/>
    </w:p>
    <w:p w14:paraId="1B66584A">
      <w:pPr>
        <w:pStyle w:val="54"/>
        <w:widowControl/>
        <w:numPr>
          <w:ilvl w:val="0"/>
          <w:numId w:val="0"/>
        </w:numPr>
        <w:spacing w:line="400" w:lineRule="exact"/>
        <w:ind w:firstLine="422" w:firstLineChars="200"/>
        <w:jc w:val="left"/>
        <w:rPr>
          <w:rFonts w:hint="eastAsia" w:ascii="仿宋" w:hAnsi="仿宋" w:eastAsia="仿宋" w:cs="仿宋"/>
          <w:b w:val="0"/>
          <w:bCs w:val="0"/>
          <w:color w:val="auto"/>
          <w:szCs w:val="21"/>
          <w:highlight w:val="none"/>
        </w:rPr>
      </w:pPr>
      <w:r>
        <w:rPr>
          <w:rFonts w:hint="eastAsia" w:ascii="仿宋" w:hAnsi="仿宋" w:eastAsia="仿宋" w:cs="仿宋"/>
          <w:b/>
          <w:bCs w:val="0"/>
          <w:color w:val="auto"/>
          <w:kern w:val="2"/>
          <w:sz w:val="21"/>
          <w:szCs w:val="21"/>
          <w:highlight w:val="none"/>
          <w:lang w:val="en-US" w:eastAsia="zh-CN" w:bidi="ar-SA"/>
        </w:rPr>
        <w:t>1.</w:t>
      </w:r>
      <w:r>
        <w:rPr>
          <w:rFonts w:hint="eastAsia" w:ascii="仿宋" w:hAnsi="仿宋" w:eastAsia="仿宋" w:cs="仿宋"/>
          <w:b w:val="0"/>
          <w:bCs w:val="0"/>
          <w:color w:val="auto"/>
          <w:szCs w:val="21"/>
          <w:highlight w:val="none"/>
        </w:rPr>
        <w:t>本章所制</w:t>
      </w:r>
      <w:r>
        <w:rPr>
          <w:rFonts w:hint="eastAsia" w:ascii="仿宋" w:hAnsi="仿宋" w:eastAsia="仿宋" w:cs="仿宋"/>
          <w:b w:val="0"/>
          <w:bCs w:val="0"/>
          <w:color w:val="auto"/>
          <w:szCs w:val="21"/>
          <w:highlight w:val="none"/>
          <w:lang w:eastAsia="zh-CN"/>
        </w:rPr>
        <w:t>响应</w:t>
      </w:r>
      <w:r>
        <w:rPr>
          <w:rFonts w:hint="eastAsia" w:ascii="仿宋" w:hAnsi="仿宋" w:eastAsia="仿宋" w:cs="仿宋"/>
          <w:b w:val="0"/>
          <w:bCs w:val="0"/>
          <w:color w:val="auto"/>
          <w:szCs w:val="21"/>
          <w:highlight w:val="none"/>
        </w:rPr>
        <w:t>文件格式，除格式中明确将该格式作为实质性要求的，一律不具有强制性，但是，供应商响应文件相关资料和本章所制格式不一致的，需涵盖所有要求内容，未按要求提供导致响应文件被认定为无效响应文件，后果由供应商自行承担。</w:t>
      </w:r>
    </w:p>
    <w:p w14:paraId="1BDB0287">
      <w:pPr>
        <w:pStyle w:val="54"/>
        <w:widowControl/>
        <w:numPr>
          <w:ilvl w:val="0"/>
          <w:numId w:val="0"/>
        </w:numPr>
        <w:spacing w:line="400" w:lineRule="exact"/>
        <w:ind w:left="425" w:leftChars="0" w:firstLine="0" w:firstLineChars="0"/>
        <w:jc w:val="left"/>
        <w:rPr>
          <w:rFonts w:hint="eastAsia" w:ascii="仿宋" w:hAnsi="仿宋" w:eastAsia="仿宋" w:cs="仿宋"/>
          <w:b w:val="0"/>
          <w:bCs w:val="0"/>
          <w:color w:val="auto"/>
          <w:szCs w:val="21"/>
          <w:highlight w:val="none"/>
        </w:rPr>
      </w:pPr>
      <w:r>
        <w:rPr>
          <w:rFonts w:hint="eastAsia" w:ascii="仿宋" w:hAnsi="仿宋" w:eastAsia="仿宋" w:cs="仿宋"/>
          <w:b/>
          <w:bCs w:val="0"/>
          <w:color w:val="auto"/>
          <w:kern w:val="2"/>
          <w:sz w:val="21"/>
          <w:szCs w:val="21"/>
          <w:highlight w:val="none"/>
          <w:lang w:val="en-US" w:eastAsia="zh-CN" w:bidi="ar-SA"/>
        </w:rPr>
        <w:t>2.</w:t>
      </w:r>
      <w:r>
        <w:rPr>
          <w:rFonts w:hint="eastAsia" w:ascii="仿宋" w:hAnsi="仿宋" w:eastAsia="仿宋" w:cs="仿宋"/>
          <w:b w:val="0"/>
          <w:bCs w:val="0"/>
          <w:color w:val="auto"/>
          <w:szCs w:val="21"/>
          <w:highlight w:val="none"/>
        </w:rPr>
        <w:t>本章所制响应文件格式有关表格中的备注栏，由供应商根据自身情况作解释性说明，不作为必填项。</w:t>
      </w:r>
    </w:p>
    <w:p w14:paraId="22532568">
      <w:pPr>
        <w:pStyle w:val="54"/>
        <w:widowControl/>
        <w:numPr>
          <w:ilvl w:val="0"/>
          <w:numId w:val="0"/>
        </w:numPr>
        <w:spacing w:line="400" w:lineRule="exact"/>
        <w:ind w:left="425" w:leftChars="0" w:firstLine="0" w:firstLineChars="0"/>
        <w:jc w:val="left"/>
        <w:rPr>
          <w:rFonts w:hint="eastAsia" w:ascii="仿宋" w:hAnsi="仿宋" w:eastAsia="仿宋" w:cs="仿宋"/>
          <w:b w:val="0"/>
          <w:bCs w:val="0"/>
          <w:color w:val="auto"/>
          <w:szCs w:val="21"/>
          <w:highlight w:val="none"/>
        </w:rPr>
      </w:pPr>
      <w:r>
        <w:rPr>
          <w:rFonts w:hint="eastAsia" w:ascii="仿宋" w:hAnsi="仿宋" w:eastAsia="仿宋" w:cs="仿宋"/>
          <w:b/>
          <w:bCs w:val="0"/>
          <w:color w:val="auto"/>
          <w:kern w:val="2"/>
          <w:sz w:val="21"/>
          <w:szCs w:val="21"/>
          <w:highlight w:val="none"/>
          <w:lang w:val="en-US" w:eastAsia="zh-CN" w:bidi="ar-SA"/>
        </w:rPr>
        <w:t>3.</w:t>
      </w:r>
      <w:r>
        <w:rPr>
          <w:rFonts w:hint="eastAsia" w:ascii="仿宋" w:hAnsi="仿宋" w:eastAsia="仿宋" w:cs="仿宋"/>
          <w:b w:val="0"/>
          <w:bCs w:val="0"/>
          <w:color w:val="auto"/>
          <w:szCs w:val="21"/>
          <w:highlight w:val="none"/>
        </w:rPr>
        <w:t>未提供具体格式的由供应商自拟。</w:t>
      </w:r>
    </w:p>
    <w:p w14:paraId="6E4ED68C">
      <w:pPr>
        <w:rPr>
          <w:rFonts w:hint="eastAsia" w:ascii="仿宋" w:hAnsi="仿宋" w:eastAsia="仿宋" w:cs="仿宋"/>
          <w:b/>
          <w:color w:val="auto"/>
          <w:szCs w:val="21"/>
          <w:highlight w:val="none"/>
        </w:rPr>
      </w:pPr>
      <w:bookmarkStart w:id="38" w:name="_Toc11831381"/>
      <w:r>
        <w:rPr>
          <w:rFonts w:hint="eastAsia" w:ascii="仿宋" w:hAnsi="仿宋" w:eastAsia="仿宋" w:cs="仿宋"/>
          <w:b/>
          <w:color w:val="auto"/>
          <w:szCs w:val="21"/>
          <w:highlight w:val="none"/>
        </w:rPr>
        <w:br w:type="page"/>
      </w:r>
    </w:p>
    <w:p w14:paraId="3DE49FB4">
      <w:pPr>
        <w:widowControl/>
        <w:spacing w:line="400" w:lineRule="exact"/>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格式1：响应文件封面</w:t>
      </w:r>
    </w:p>
    <w:p w14:paraId="0D578642">
      <w:pPr>
        <w:widowControl/>
        <w:spacing w:line="400" w:lineRule="exact"/>
        <w:jc w:val="center"/>
        <w:rPr>
          <w:rFonts w:hint="eastAsia" w:ascii="仿宋" w:hAnsi="仿宋" w:eastAsia="仿宋" w:cs="仿宋"/>
          <w:color w:val="auto"/>
          <w:szCs w:val="21"/>
          <w:highlight w:val="none"/>
        </w:rPr>
      </w:pPr>
    </w:p>
    <w:p w14:paraId="7E0500E0">
      <w:pPr>
        <w:pStyle w:val="2"/>
        <w:jc w:val="center"/>
        <w:rPr>
          <w:rFonts w:hint="eastAsia" w:ascii="仿宋" w:hAnsi="仿宋" w:eastAsia="仿宋" w:cs="仿宋"/>
          <w:color w:val="auto"/>
          <w:szCs w:val="21"/>
          <w:highlight w:val="none"/>
        </w:rPr>
      </w:pPr>
    </w:p>
    <w:p w14:paraId="48C03EB0">
      <w:pPr>
        <w:jc w:val="center"/>
        <w:rPr>
          <w:rFonts w:hint="eastAsia" w:ascii="仿宋" w:hAnsi="仿宋" w:eastAsia="仿宋" w:cs="仿宋"/>
          <w:color w:val="auto"/>
          <w:szCs w:val="21"/>
          <w:highlight w:val="none"/>
        </w:rPr>
      </w:pPr>
    </w:p>
    <w:p w14:paraId="6CC66E12">
      <w:pPr>
        <w:pStyle w:val="2"/>
        <w:jc w:val="center"/>
        <w:rPr>
          <w:rFonts w:hint="eastAsia"/>
          <w:color w:val="auto"/>
          <w:highlight w:val="none"/>
        </w:rPr>
      </w:pPr>
    </w:p>
    <w:p w14:paraId="19FF5897">
      <w:pPr>
        <w:widowControl/>
        <w:spacing w:line="400" w:lineRule="exact"/>
        <w:jc w:val="center"/>
        <w:rPr>
          <w:rFonts w:hint="eastAsia" w:ascii="仿宋" w:hAnsi="仿宋" w:eastAsia="仿宋" w:cs="仿宋"/>
          <w:color w:val="auto"/>
          <w:szCs w:val="21"/>
          <w:highlight w:val="none"/>
        </w:rPr>
      </w:pPr>
    </w:p>
    <w:p w14:paraId="43E22586">
      <w:pPr>
        <w:pStyle w:val="2"/>
        <w:jc w:val="center"/>
        <w:rPr>
          <w:rFonts w:hint="eastAsia" w:ascii="仿宋" w:hAnsi="仿宋" w:eastAsia="仿宋" w:cs="仿宋"/>
          <w:color w:val="auto"/>
          <w:szCs w:val="21"/>
          <w:highlight w:val="none"/>
        </w:rPr>
      </w:pPr>
    </w:p>
    <w:p w14:paraId="32DF6D5A">
      <w:pPr>
        <w:jc w:val="center"/>
        <w:rPr>
          <w:rFonts w:hint="eastAsia" w:ascii="仿宋" w:hAnsi="仿宋" w:eastAsia="仿宋" w:cs="仿宋"/>
          <w:color w:val="auto"/>
          <w:szCs w:val="21"/>
          <w:highlight w:val="none"/>
        </w:rPr>
      </w:pPr>
    </w:p>
    <w:p w14:paraId="14B10331">
      <w:pPr>
        <w:pStyle w:val="2"/>
        <w:jc w:val="center"/>
        <w:rPr>
          <w:rFonts w:hint="eastAsia"/>
          <w:color w:val="auto"/>
          <w:highlight w:val="none"/>
        </w:rPr>
      </w:pPr>
    </w:p>
    <w:p w14:paraId="7FE54D6B">
      <w:pPr>
        <w:widowControl/>
        <w:spacing w:line="240" w:lineRule="auto"/>
        <w:jc w:val="center"/>
        <w:rPr>
          <w:rFonts w:hint="eastAsia" w:ascii="仿宋" w:hAnsi="仿宋" w:eastAsia="仿宋" w:cs="仿宋"/>
          <w:color w:val="auto"/>
          <w:sz w:val="52"/>
          <w:szCs w:val="52"/>
          <w:highlight w:val="none"/>
        </w:rPr>
      </w:pPr>
      <w:r>
        <w:rPr>
          <w:rFonts w:hint="eastAsia" w:ascii="仿宋" w:hAnsi="仿宋" w:eastAsia="仿宋" w:cs="仿宋"/>
          <w:color w:val="auto"/>
          <w:sz w:val="52"/>
          <w:szCs w:val="52"/>
          <w:highlight w:val="none"/>
        </w:rPr>
        <w:t>响应文件</w:t>
      </w:r>
    </w:p>
    <w:p w14:paraId="103B4F9D">
      <w:pPr>
        <w:pStyle w:val="2"/>
        <w:jc w:val="center"/>
        <w:rPr>
          <w:rFonts w:hint="eastAsia" w:eastAsia="仿宋"/>
          <w:color w:val="auto"/>
          <w:sz w:val="6"/>
          <w:szCs w:val="13"/>
          <w:highlight w:val="none"/>
          <w:lang w:eastAsia="zh-CN"/>
        </w:rPr>
      </w:pPr>
      <w:r>
        <w:rPr>
          <w:rFonts w:hint="eastAsia" w:ascii="仿宋" w:hAnsi="仿宋" w:eastAsia="仿宋" w:cs="仿宋"/>
          <w:color w:val="auto"/>
          <w:sz w:val="24"/>
          <w:szCs w:val="24"/>
          <w:highlight w:val="none"/>
          <w:lang w:eastAsia="zh-CN"/>
        </w:rPr>
        <w:t>（资格性响应文件</w:t>
      </w:r>
      <w:r>
        <w:rPr>
          <w:rFonts w:hint="eastAsia" w:ascii="仿宋" w:hAnsi="仿宋" w:eastAsia="仿宋" w:cs="仿宋"/>
          <w:color w:val="auto"/>
          <w:sz w:val="24"/>
          <w:szCs w:val="24"/>
          <w:highlight w:val="none"/>
          <w:lang w:val="en-US" w:eastAsia="zh-CN"/>
        </w:rPr>
        <w:t>/其他响应文件</w:t>
      </w:r>
      <w:r>
        <w:rPr>
          <w:rFonts w:hint="eastAsia" w:ascii="仿宋" w:hAnsi="仿宋" w:eastAsia="仿宋" w:cs="仿宋"/>
          <w:color w:val="auto"/>
          <w:sz w:val="24"/>
          <w:szCs w:val="24"/>
          <w:highlight w:val="none"/>
          <w:lang w:eastAsia="zh-CN"/>
        </w:rPr>
        <w:t>）</w:t>
      </w:r>
    </w:p>
    <w:p w14:paraId="238F6AD7">
      <w:pPr>
        <w:widowControl/>
        <w:spacing w:line="400" w:lineRule="exact"/>
        <w:jc w:val="center"/>
        <w:rPr>
          <w:rFonts w:hint="eastAsia" w:ascii="仿宋" w:hAnsi="仿宋" w:eastAsia="仿宋" w:cs="仿宋"/>
          <w:color w:val="auto"/>
          <w:szCs w:val="21"/>
          <w:highlight w:val="none"/>
        </w:rPr>
      </w:pPr>
    </w:p>
    <w:p w14:paraId="785CEC63">
      <w:pPr>
        <w:pStyle w:val="2"/>
        <w:jc w:val="center"/>
        <w:rPr>
          <w:rFonts w:hint="eastAsia" w:ascii="仿宋" w:hAnsi="仿宋" w:eastAsia="仿宋" w:cs="仿宋"/>
          <w:color w:val="auto"/>
          <w:szCs w:val="21"/>
          <w:highlight w:val="none"/>
        </w:rPr>
      </w:pPr>
    </w:p>
    <w:p w14:paraId="6C57EE2C">
      <w:pPr>
        <w:jc w:val="center"/>
        <w:rPr>
          <w:rFonts w:hint="eastAsia" w:ascii="仿宋" w:hAnsi="仿宋" w:eastAsia="仿宋" w:cs="仿宋"/>
          <w:color w:val="auto"/>
          <w:szCs w:val="21"/>
          <w:highlight w:val="none"/>
        </w:rPr>
      </w:pPr>
    </w:p>
    <w:p w14:paraId="67730921">
      <w:pPr>
        <w:pStyle w:val="2"/>
        <w:jc w:val="center"/>
        <w:rPr>
          <w:rFonts w:hint="eastAsia"/>
          <w:color w:val="auto"/>
          <w:highlight w:val="none"/>
        </w:rPr>
      </w:pPr>
    </w:p>
    <w:p w14:paraId="69519CB4">
      <w:pPr>
        <w:widowControl/>
        <w:spacing w:line="400" w:lineRule="exact"/>
        <w:jc w:val="center"/>
        <w:rPr>
          <w:rFonts w:hint="eastAsia" w:ascii="仿宋" w:hAnsi="仿宋" w:eastAsia="仿宋" w:cs="仿宋"/>
          <w:color w:val="auto"/>
          <w:szCs w:val="21"/>
          <w:highlight w:val="none"/>
        </w:rPr>
      </w:pPr>
    </w:p>
    <w:p w14:paraId="4B0E979B">
      <w:pPr>
        <w:pStyle w:val="2"/>
        <w:jc w:val="center"/>
        <w:rPr>
          <w:rFonts w:hint="eastAsia" w:ascii="仿宋" w:hAnsi="仿宋" w:eastAsia="仿宋" w:cs="仿宋"/>
          <w:color w:val="auto"/>
          <w:szCs w:val="21"/>
          <w:highlight w:val="none"/>
        </w:rPr>
      </w:pPr>
    </w:p>
    <w:p w14:paraId="59608465">
      <w:pPr>
        <w:jc w:val="center"/>
        <w:rPr>
          <w:rFonts w:hint="eastAsia" w:ascii="仿宋" w:hAnsi="仿宋" w:eastAsia="仿宋" w:cs="仿宋"/>
          <w:color w:val="auto"/>
          <w:szCs w:val="21"/>
          <w:highlight w:val="none"/>
        </w:rPr>
      </w:pPr>
    </w:p>
    <w:p w14:paraId="75DB6235">
      <w:pPr>
        <w:pStyle w:val="2"/>
        <w:jc w:val="center"/>
        <w:rPr>
          <w:rFonts w:hint="eastAsia"/>
          <w:color w:val="auto"/>
          <w:highlight w:val="none"/>
        </w:rPr>
      </w:pPr>
    </w:p>
    <w:p w14:paraId="41465732">
      <w:pPr>
        <w:widowControl/>
        <w:spacing w:line="400" w:lineRule="exact"/>
        <w:jc w:val="lef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项目编号：</w:t>
      </w:r>
      <w:r>
        <w:rPr>
          <w:rFonts w:hint="eastAsia" w:ascii="仿宋" w:hAnsi="仿宋" w:eastAsia="仿宋" w:cs="仿宋"/>
          <w:color w:val="auto"/>
          <w:szCs w:val="21"/>
          <w:highlight w:val="none"/>
          <w:u w:val="single"/>
        </w:rPr>
        <w:t>XXXXXX</w:t>
      </w:r>
    </w:p>
    <w:p w14:paraId="4AD522ED">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项目名称：</w:t>
      </w:r>
      <w:r>
        <w:rPr>
          <w:rFonts w:hint="eastAsia" w:ascii="仿宋" w:hAnsi="仿宋" w:eastAsia="仿宋" w:cs="仿宋"/>
          <w:color w:val="auto"/>
          <w:szCs w:val="21"/>
          <w:highlight w:val="none"/>
          <w:u w:val="single"/>
        </w:rPr>
        <w:t>XXXXXX</w:t>
      </w:r>
    </w:p>
    <w:p w14:paraId="6B679A02">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供应商名称</w:t>
      </w:r>
      <w:r>
        <w:rPr>
          <w:rFonts w:hint="eastAsia" w:ascii="仿宋" w:hAnsi="仿宋" w:eastAsia="仿宋" w:cs="仿宋"/>
          <w:color w:val="auto"/>
          <w:szCs w:val="21"/>
          <w:highlight w:val="none"/>
          <w:lang w:eastAsia="zh-CN"/>
        </w:rPr>
        <w:t>（加盖供应商公章）</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single"/>
        </w:rPr>
        <w:t>XXXXXX</w:t>
      </w:r>
    </w:p>
    <w:p w14:paraId="1E316E85">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通讯地址：</w:t>
      </w:r>
      <w:r>
        <w:rPr>
          <w:rFonts w:hint="eastAsia" w:ascii="仿宋" w:hAnsi="仿宋" w:eastAsia="仿宋" w:cs="仿宋"/>
          <w:color w:val="auto"/>
          <w:szCs w:val="21"/>
          <w:highlight w:val="none"/>
          <w:u w:val="single"/>
        </w:rPr>
        <w:t>XXXXXX</w:t>
      </w:r>
    </w:p>
    <w:p w14:paraId="74E6A99F">
      <w:pPr>
        <w:widowControl/>
        <w:spacing w:line="400" w:lineRule="exact"/>
        <w:jc w:val="lef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联系电话：</w:t>
      </w:r>
      <w:r>
        <w:rPr>
          <w:rFonts w:hint="eastAsia" w:ascii="仿宋" w:hAnsi="仿宋" w:eastAsia="仿宋" w:cs="仿宋"/>
          <w:color w:val="auto"/>
          <w:szCs w:val="21"/>
          <w:highlight w:val="none"/>
          <w:u w:val="single"/>
        </w:rPr>
        <w:t>XXXXXX</w:t>
      </w:r>
    </w:p>
    <w:p w14:paraId="14E7693C">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日期：</w:t>
      </w:r>
      <w:r>
        <w:rPr>
          <w:rFonts w:hint="eastAsia" w:ascii="仿宋" w:hAnsi="仿宋" w:eastAsia="仿宋" w:cs="仿宋"/>
          <w:color w:val="auto"/>
          <w:szCs w:val="21"/>
          <w:highlight w:val="none"/>
          <w:u w:val="single"/>
        </w:rPr>
        <w:t>XXXXXX</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XXXXXX</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XXXXXX</w:t>
      </w:r>
      <w:r>
        <w:rPr>
          <w:rFonts w:hint="eastAsia" w:ascii="仿宋" w:hAnsi="仿宋" w:eastAsia="仿宋" w:cs="仿宋"/>
          <w:color w:val="auto"/>
          <w:szCs w:val="21"/>
          <w:highlight w:val="none"/>
        </w:rPr>
        <w:t>日</w:t>
      </w:r>
    </w:p>
    <w:p w14:paraId="48E9BDEC">
      <w:pPr>
        <w:widowControl/>
        <w:spacing w:line="400" w:lineRule="exact"/>
        <w:jc w:val="left"/>
        <w:rPr>
          <w:rFonts w:hint="eastAsia" w:ascii="仿宋" w:hAnsi="仿宋" w:eastAsia="仿宋" w:cs="仿宋"/>
          <w:color w:val="auto"/>
          <w:szCs w:val="21"/>
          <w:highlight w:val="none"/>
        </w:rPr>
      </w:pPr>
    </w:p>
    <w:p w14:paraId="2CABD57E">
      <w:pPr>
        <w:widowControl/>
        <w:spacing w:line="400" w:lineRule="exact"/>
        <w:jc w:val="left"/>
        <w:rPr>
          <w:rFonts w:hint="eastAsia" w:ascii="仿宋" w:hAnsi="仿宋" w:eastAsia="仿宋" w:cs="仿宋"/>
          <w:color w:val="auto"/>
          <w:szCs w:val="21"/>
          <w:highlight w:val="none"/>
        </w:rPr>
      </w:pPr>
    </w:p>
    <w:p w14:paraId="62086E10">
      <w:pPr>
        <w:widowControl/>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br w:type="page"/>
      </w:r>
    </w:p>
    <w:p w14:paraId="4F05C4DB">
      <w:pPr>
        <w:widowControl/>
        <w:spacing w:line="400" w:lineRule="exact"/>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格式2：资格声明函</w:t>
      </w:r>
    </w:p>
    <w:p w14:paraId="5EAE09ED">
      <w:pPr>
        <w:widowControl/>
        <w:spacing w:line="400" w:lineRule="exact"/>
        <w:jc w:val="center"/>
        <w:rPr>
          <w:rFonts w:hint="eastAsia" w:ascii="仿宋" w:hAnsi="仿宋" w:eastAsia="仿宋" w:cs="仿宋"/>
          <w:color w:val="auto"/>
          <w:szCs w:val="21"/>
          <w:highlight w:val="none"/>
        </w:rPr>
      </w:pPr>
    </w:p>
    <w:p w14:paraId="32575FC3">
      <w:pPr>
        <w:widowControl/>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资格声明函</w:t>
      </w:r>
    </w:p>
    <w:p w14:paraId="4E63AA56">
      <w:pPr>
        <w:widowControl/>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（实质性要求）</w:t>
      </w:r>
    </w:p>
    <w:p w14:paraId="475060DB">
      <w:pPr>
        <w:widowControl/>
        <w:spacing w:line="400" w:lineRule="exact"/>
        <w:jc w:val="left"/>
        <w:rPr>
          <w:rFonts w:hint="eastAsia" w:ascii="仿宋" w:hAnsi="仿宋" w:eastAsia="仿宋" w:cs="仿宋"/>
          <w:color w:val="auto"/>
          <w:szCs w:val="21"/>
          <w:highlight w:val="none"/>
        </w:rPr>
      </w:pPr>
    </w:p>
    <w:p w14:paraId="7BB8C7C6">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XXXXXX</w:t>
      </w:r>
      <w:r>
        <w:rPr>
          <w:rFonts w:hint="eastAsia" w:ascii="仿宋" w:hAnsi="仿宋" w:eastAsia="仿宋" w:cs="仿宋"/>
          <w:color w:val="auto"/>
          <w:szCs w:val="21"/>
          <w:highlight w:val="none"/>
        </w:rPr>
        <w:t>（采购人名称）：</w:t>
      </w:r>
    </w:p>
    <w:p w14:paraId="084E8655">
      <w:pPr>
        <w:widowControl/>
        <w:spacing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我方作为本次采购活动的供应商，根据谈判文件要求，现郑重声明如下：</w:t>
      </w:r>
    </w:p>
    <w:p w14:paraId="3FA8FA78">
      <w:pPr>
        <w:widowControl/>
        <w:spacing w:line="400" w:lineRule="exact"/>
        <w:ind w:firstLine="420" w:firstLineChars="20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 我方符合</w:t>
      </w:r>
      <w:r>
        <w:rPr>
          <w:rFonts w:hint="eastAsia" w:ascii="仿宋" w:hAnsi="仿宋" w:eastAsia="仿宋" w:cs="仿宋"/>
          <w:color w:val="auto"/>
          <w:szCs w:val="21"/>
          <w:highlight w:val="none"/>
          <w:lang w:eastAsia="zh-CN"/>
        </w:rPr>
        <w:t>相关法律法规</w:t>
      </w:r>
      <w:r>
        <w:rPr>
          <w:rFonts w:hint="eastAsia" w:ascii="仿宋" w:hAnsi="仿宋" w:eastAsia="仿宋" w:cs="仿宋"/>
          <w:color w:val="auto"/>
          <w:szCs w:val="21"/>
          <w:highlight w:val="none"/>
        </w:rPr>
        <w:t>规定的条件</w:t>
      </w:r>
      <w:r>
        <w:rPr>
          <w:rFonts w:hint="eastAsia" w:ascii="仿宋" w:hAnsi="仿宋" w:eastAsia="仿宋" w:cs="仿宋"/>
          <w:color w:val="auto"/>
          <w:szCs w:val="21"/>
          <w:highlight w:val="none"/>
          <w:lang w:eastAsia="zh-CN"/>
        </w:rPr>
        <w:t>：</w:t>
      </w:r>
    </w:p>
    <w:p w14:paraId="13401CE4">
      <w:pPr>
        <w:widowControl/>
        <w:spacing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 xml:space="preserve">1.1 </w:t>
      </w:r>
      <w:r>
        <w:rPr>
          <w:rFonts w:hint="eastAsia" w:ascii="仿宋" w:hAnsi="仿宋" w:eastAsia="仿宋" w:cs="仿宋"/>
          <w:color w:val="auto"/>
          <w:szCs w:val="21"/>
          <w:highlight w:val="none"/>
        </w:rPr>
        <w:t>具有独立承担民事责任的能力；</w:t>
      </w:r>
    </w:p>
    <w:p w14:paraId="3E356F9B">
      <w:pPr>
        <w:widowControl/>
        <w:spacing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 xml:space="preserve">1.2 </w:t>
      </w:r>
      <w:r>
        <w:rPr>
          <w:rFonts w:hint="eastAsia" w:ascii="仿宋" w:hAnsi="仿宋" w:eastAsia="仿宋" w:cs="仿宋"/>
          <w:color w:val="auto"/>
          <w:szCs w:val="21"/>
          <w:highlight w:val="none"/>
        </w:rPr>
        <w:t>具有良好的商业信誉和健全的财务会计制度；</w:t>
      </w:r>
    </w:p>
    <w:p w14:paraId="28E291E7">
      <w:pPr>
        <w:widowControl/>
        <w:spacing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 xml:space="preserve">1.3 </w:t>
      </w:r>
      <w:r>
        <w:rPr>
          <w:rFonts w:hint="eastAsia" w:ascii="仿宋" w:hAnsi="仿宋" w:eastAsia="仿宋" w:cs="仿宋"/>
          <w:color w:val="auto"/>
          <w:szCs w:val="21"/>
          <w:highlight w:val="none"/>
        </w:rPr>
        <w:t>具有履行合同所必须的设备和专业技术能力；</w:t>
      </w:r>
    </w:p>
    <w:p w14:paraId="4DCB804F">
      <w:pPr>
        <w:widowControl/>
        <w:spacing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 xml:space="preserve">1.4 </w:t>
      </w:r>
      <w:r>
        <w:rPr>
          <w:rFonts w:hint="eastAsia" w:ascii="仿宋" w:hAnsi="仿宋" w:eastAsia="仿宋" w:cs="仿宋"/>
          <w:color w:val="auto"/>
          <w:szCs w:val="21"/>
          <w:highlight w:val="none"/>
        </w:rPr>
        <w:t>具有依法缴纳税收和社会保障资金的良好记录；</w:t>
      </w:r>
    </w:p>
    <w:p w14:paraId="5EF44C4B">
      <w:pPr>
        <w:widowControl/>
        <w:spacing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 xml:space="preserve">1.5 </w:t>
      </w:r>
      <w:r>
        <w:rPr>
          <w:rFonts w:hint="eastAsia" w:ascii="仿宋" w:hAnsi="仿宋" w:eastAsia="仿宋" w:cs="仿宋"/>
          <w:color w:val="auto"/>
          <w:szCs w:val="21"/>
          <w:highlight w:val="none"/>
        </w:rPr>
        <w:t>参加本次采购活动前三年内，在经营活动中没有重大违法记录；</w:t>
      </w:r>
    </w:p>
    <w:p w14:paraId="33F1D930">
      <w:pPr>
        <w:widowControl/>
        <w:spacing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 xml:space="preserve">1.6 </w:t>
      </w:r>
      <w:r>
        <w:rPr>
          <w:rFonts w:hint="eastAsia" w:ascii="仿宋" w:hAnsi="仿宋" w:eastAsia="仿宋" w:cs="仿宋"/>
          <w:color w:val="auto"/>
          <w:szCs w:val="21"/>
          <w:highlight w:val="none"/>
        </w:rPr>
        <w:t>法律、行政法规规定的其他条件：无。</w:t>
      </w:r>
    </w:p>
    <w:p w14:paraId="3F65B7A7">
      <w:pPr>
        <w:widowControl/>
        <w:spacing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 截至本项目响应文件提交截止日，我方未被列入失信被执行人、重大税收违法案件当事人名单、政府采购严重违法失信行为记录名单。若截至响应文件提交截止日，“信用中国”网站（www.creditchina.gov.cn）、等网站显示我方被列入失信被执行人、重大税收违法案件当事人名单、政府采购严重违法失信行为记录名单，我方不予通过资格审查。</w:t>
      </w:r>
    </w:p>
    <w:p w14:paraId="6F2D1CE6">
      <w:pPr>
        <w:widowControl/>
        <w:spacing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 我方完全符合第二章须知前附表“充分、公平竞争保障措施”的规定。若我方不符合第二章须知前附表“充分、公平竞争保障措施”的规定，我方不予通过资格审查。</w:t>
      </w:r>
    </w:p>
    <w:p w14:paraId="5CCCAC97">
      <w:pPr>
        <w:widowControl/>
        <w:spacing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 与我方存在直接控股关系的单位为：</w:t>
      </w:r>
      <w:r>
        <w:rPr>
          <w:rFonts w:hint="eastAsia" w:ascii="仿宋" w:hAnsi="仿宋" w:eastAsia="仿宋" w:cs="仿宋"/>
          <w:color w:val="auto"/>
          <w:szCs w:val="21"/>
          <w:highlight w:val="none"/>
          <w:u w:val="single"/>
        </w:rPr>
        <w:t>XXXXXX</w:t>
      </w:r>
      <w:r>
        <w:rPr>
          <w:rFonts w:hint="eastAsia" w:ascii="仿宋" w:hAnsi="仿宋" w:eastAsia="仿宋" w:cs="仿宋"/>
          <w:color w:val="auto"/>
          <w:szCs w:val="21"/>
          <w:highlight w:val="none"/>
        </w:rPr>
        <w:t>；存在管理关系单位为：</w:t>
      </w:r>
      <w:r>
        <w:rPr>
          <w:rFonts w:hint="eastAsia" w:ascii="仿宋" w:hAnsi="仿宋" w:eastAsia="仿宋" w:cs="仿宋"/>
          <w:color w:val="auto"/>
          <w:szCs w:val="21"/>
          <w:highlight w:val="none"/>
          <w:u w:val="single"/>
        </w:rPr>
        <w:t>XXXXXX</w:t>
      </w:r>
      <w:r>
        <w:rPr>
          <w:rFonts w:hint="eastAsia" w:ascii="仿宋" w:hAnsi="仿宋" w:eastAsia="仿宋" w:cs="仿宋"/>
          <w:color w:val="auto"/>
          <w:szCs w:val="21"/>
          <w:highlight w:val="none"/>
        </w:rPr>
        <w:t>。（如果没有的，填写“无”）</w:t>
      </w:r>
    </w:p>
    <w:p w14:paraId="60D15FDD">
      <w:pPr>
        <w:widowControl/>
        <w:spacing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我方对上述声明内容的真实性负责。如经查证声明内容存在虚假，我方愿意依法承担因提供虚假材料谋取成交的法律责任。</w:t>
      </w:r>
    </w:p>
    <w:p w14:paraId="5CCD9A1C">
      <w:pPr>
        <w:widowControl/>
        <w:spacing w:line="400" w:lineRule="exact"/>
        <w:jc w:val="left"/>
        <w:rPr>
          <w:rFonts w:hint="eastAsia" w:ascii="仿宋" w:hAnsi="仿宋" w:eastAsia="仿宋" w:cs="仿宋"/>
          <w:color w:val="auto"/>
          <w:szCs w:val="21"/>
          <w:highlight w:val="none"/>
        </w:rPr>
      </w:pPr>
    </w:p>
    <w:p w14:paraId="077354E9">
      <w:pPr>
        <w:widowControl/>
        <w:spacing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供应商名称</w:t>
      </w:r>
      <w:r>
        <w:rPr>
          <w:rFonts w:hint="eastAsia" w:ascii="仿宋" w:hAnsi="仿宋" w:eastAsia="仿宋" w:cs="仿宋"/>
          <w:color w:val="auto"/>
          <w:szCs w:val="21"/>
          <w:highlight w:val="none"/>
          <w:lang w:eastAsia="zh-CN"/>
        </w:rPr>
        <w:t>（加盖供应商公章）</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single"/>
        </w:rPr>
        <w:t>XXXXXX</w:t>
      </w:r>
    </w:p>
    <w:p w14:paraId="330CB98E">
      <w:pPr>
        <w:widowControl/>
        <w:spacing w:line="400" w:lineRule="exact"/>
        <w:ind w:firstLine="420" w:firstLineChars="200"/>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联系地址：</w:t>
      </w:r>
      <w:r>
        <w:rPr>
          <w:rFonts w:hint="eastAsia" w:ascii="仿宋" w:hAnsi="仿宋" w:eastAsia="仿宋" w:cs="仿宋"/>
          <w:color w:val="auto"/>
          <w:szCs w:val="21"/>
          <w:highlight w:val="none"/>
          <w:u w:val="single"/>
        </w:rPr>
        <w:t>XXXXXX</w:t>
      </w:r>
    </w:p>
    <w:p w14:paraId="0D4DA811">
      <w:pPr>
        <w:widowControl/>
        <w:spacing w:line="400" w:lineRule="exact"/>
        <w:ind w:firstLine="420" w:firstLineChars="200"/>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联 系 人：</w:t>
      </w:r>
      <w:r>
        <w:rPr>
          <w:rFonts w:hint="eastAsia" w:ascii="仿宋" w:hAnsi="仿宋" w:eastAsia="仿宋" w:cs="仿宋"/>
          <w:color w:val="auto"/>
          <w:szCs w:val="21"/>
          <w:highlight w:val="none"/>
          <w:u w:val="single"/>
        </w:rPr>
        <w:t>XXXXXX</w:t>
      </w:r>
    </w:p>
    <w:p w14:paraId="548FCFFC">
      <w:pPr>
        <w:widowControl/>
        <w:spacing w:line="400" w:lineRule="exact"/>
        <w:ind w:firstLine="420" w:firstLineChars="200"/>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联系方式：</w:t>
      </w:r>
      <w:r>
        <w:rPr>
          <w:rFonts w:hint="eastAsia" w:ascii="仿宋" w:hAnsi="仿宋" w:eastAsia="仿宋" w:cs="仿宋"/>
          <w:color w:val="auto"/>
          <w:szCs w:val="21"/>
          <w:highlight w:val="none"/>
          <w:u w:val="single"/>
        </w:rPr>
        <w:t>XXXXXX</w:t>
      </w:r>
    </w:p>
    <w:p w14:paraId="218CA331">
      <w:pPr>
        <w:widowControl/>
        <w:spacing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 期：</w:t>
      </w:r>
      <w:r>
        <w:rPr>
          <w:rFonts w:hint="eastAsia" w:ascii="仿宋" w:hAnsi="仿宋" w:eastAsia="仿宋" w:cs="仿宋"/>
          <w:color w:val="auto"/>
          <w:szCs w:val="21"/>
          <w:highlight w:val="none"/>
          <w:u w:val="single"/>
        </w:rPr>
        <w:t>XXXX</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XX</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XX</w:t>
      </w:r>
      <w:r>
        <w:rPr>
          <w:rFonts w:hint="eastAsia" w:ascii="仿宋" w:hAnsi="仿宋" w:eastAsia="仿宋" w:cs="仿宋"/>
          <w:color w:val="auto"/>
          <w:szCs w:val="21"/>
          <w:highlight w:val="none"/>
        </w:rPr>
        <w:t>日</w:t>
      </w:r>
    </w:p>
    <w:p w14:paraId="0BF5CF08">
      <w:pPr>
        <w:widowControl/>
        <w:spacing w:line="400" w:lineRule="exact"/>
        <w:jc w:val="left"/>
        <w:rPr>
          <w:rFonts w:hint="eastAsia" w:ascii="仿宋" w:hAnsi="仿宋" w:eastAsia="仿宋" w:cs="仿宋"/>
          <w:color w:val="auto"/>
          <w:szCs w:val="21"/>
          <w:highlight w:val="none"/>
        </w:rPr>
      </w:pPr>
    </w:p>
    <w:p w14:paraId="612D214F">
      <w:pPr>
        <w:widowControl/>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br w:type="page"/>
      </w:r>
    </w:p>
    <w:p w14:paraId="62346B01">
      <w:pPr>
        <w:widowControl/>
        <w:spacing w:line="400" w:lineRule="exact"/>
        <w:jc w:val="left"/>
        <w:rPr>
          <w:rFonts w:hint="eastAsia" w:ascii="仿宋" w:hAnsi="仿宋" w:eastAsia="仿宋" w:cs="仿宋"/>
          <w:b/>
          <w:color w:val="auto"/>
          <w:szCs w:val="21"/>
          <w:highlight w:val="none"/>
          <w:lang w:eastAsia="zh-CN"/>
        </w:rPr>
      </w:pPr>
      <w:r>
        <w:rPr>
          <w:rFonts w:hint="eastAsia" w:ascii="仿宋" w:hAnsi="仿宋" w:eastAsia="仿宋" w:cs="仿宋"/>
          <w:b/>
          <w:color w:val="auto"/>
          <w:szCs w:val="21"/>
          <w:highlight w:val="none"/>
        </w:rPr>
        <w:t>格式</w:t>
      </w:r>
      <w:r>
        <w:rPr>
          <w:rFonts w:hint="eastAsia" w:ascii="仿宋" w:hAnsi="仿宋" w:eastAsia="仿宋" w:cs="仿宋"/>
          <w:b/>
          <w:color w:val="auto"/>
          <w:szCs w:val="21"/>
          <w:highlight w:val="none"/>
          <w:lang w:val="en-US" w:eastAsia="zh-CN"/>
        </w:rPr>
        <w:t>3</w:t>
      </w:r>
      <w:r>
        <w:rPr>
          <w:rFonts w:hint="eastAsia" w:ascii="仿宋" w:hAnsi="仿宋" w:eastAsia="仿宋" w:cs="仿宋"/>
          <w:b/>
          <w:color w:val="auto"/>
          <w:szCs w:val="21"/>
          <w:highlight w:val="none"/>
        </w:rPr>
        <w:t>：</w:t>
      </w:r>
      <w:r>
        <w:rPr>
          <w:rFonts w:hint="eastAsia" w:ascii="仿宋" w:hAnsi="仿宋" w:eastAsia="仿宋" w:cs="仿宋"/>
          <w:b/>
          <w:color w:val="auto"/>
          <w:sz w:val="21"/>
          <w:szCs w:val="21"/>
          <w:highlight w:val="none"/>
        </w:rPr>
        <w:t>法定代表人/单位负责人身份证明</w:t>
      </w:r>
    </w:p>
    <w:p w14:paraId="6C03B99A">
      <w:pPr>
        <w:jc w:val="center"/>
        <w:rPr>
          <w:rFonts w:hint="eastAsia" w:ascii="仿宋" w:hAnsi="仿宋" w:eastAsia="仿宋" w:cs="仿宋"/>
          <w:b/>
          <w:color w:val="auto"/>
          <w:sz w:val="21"/>
          <w:szCs w:val="21"/>
          <w:highlight w:val="none"/>
        </w:rPr>
      </w:pPr>
    </w:p>
    <w:p w14:paraId="6ACA8CB4">
      <w:pPr>
        <w:jc w:val="center"/>
        <w:rPr>
          <w:rFonts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法定代表人/单位负责人身份证明</w:t>
      </w:r>
    </w:p>
    <w:p w14:paraId="021D691F">
      <w:pPr>
        <w:jc w:val="center"/>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w:t>
      </w:r>
      <w:r>
        <w:rPr>
          <w:rFonts w:hint="eastAsia" w:ascii="仿宋" w:hAnsi="仿宋" w:eastAsia="仿宋" w:cs="仿宋"/>
          <w:b w:val="0"/>
          <w:bCs/>
          <w:color w:val="auto"/>
          <w:sz w:val="21"/>
          <w:szCs w:val="21"/>
          <w:highlight w:val="none"/>
          <w:lang w:val="zh-CN"/>
        </w:rPr>
        <w:t>实质性要求</w:t>
      </w:r>
      <w:r>
        <w:rPr>
          <w:rFonts w:hint="eastAsia" w:ascii="仿宋" w:hAnsi="仿宋" w:eastAsia="仿宋" w:cs="仿宋"/>
          <w:color w:val="auto"/>
          <w:sz w:val="21"/>
          <w:szCs w:val="21"/>
          <w:highlight w:val="none"/>
          <w:lang w:val="zh-CN"/>
        </w:rPr>
        <w:t>）</w:t>
      </w:r>
    </w:p>
    <w:p w14:paraId="7B132F48">
      <w:pPr>
        <w:pStyle w:val="76"/>
        <w:rPr>
          <w:color w:val="auto"/>
          <w:highlight w:val="none"/>
        </w:rPr>
      </w:pPr>
    </w:p>
    <w:p w14:paraId="7FA858DB">
      <w:pPr>
        <w:keepNext w:val="0"/>
        <w:keepLines w:val="0"/>
        <w:pageBreakBefore w:val="0"/>
        <w:kinsoku/>
        <w:wordWrap/>
        <w:overflowPunct/>
        <w:topLinePunct w:val="0"/>
        <w:autoSpaceDE/>
        <w:autoSpaceDN/>
        <w:bidi w:val="0"/>
        <w:adjustRightInd/>
        <w:snapToGrid/>
        <w:spacing w:line="400" w:lineRule="exact"/>
        <w:textAlignment w:val="auto"/>
        <w:rPr>
          <w:rFonts w:ascii="仿宋" w:hAnsi="仿宋" w:eastAsia="仿宋" w:cs="仿宋"/>
          <w:bCs/>
          <w:color w:val="auto"/>
          <w:sz w:val="21"/>
          <w:szCs w:val="21"/>
          <w:highlight w:val="none"/>
        </w:rPr>
      </w:pPr>
      <w:r>
        <w:rPr>
          <w:rFonts w:hint="eastAsia" w:ascii="仿宋" w:hAnsi="仿宋" w:eastAsia="仿宋" w:cs="仿宋"/>
          <w:color w:val="auto"/>
          <w:szCs w:val="21"/>
          <w:highlight w:val="none"/>
          <w:u w:val="single"/>
        </w:rPr>
        <w:t>XXXXXX</w:t>
      </w:r>
      <w:r>
        <w:rPr>
          <w:rFonts w:hint="eastAsia" w:ascii="仿宋" w:hAnsi="仿宋" w:eastAsia="仿宋" w:cs="仿宋"/>
          <w:color w:val="auto"/>
          <w:szCs w:val="21"/>
          <w:highlight w:val="none"/>
        </w:rPr>
        <w:t>（采购人名称）：</w:t>
      </w:r>
    </w:p>
    <w:p w14:paraId="26DEBA84">
      <w:pPr>
        <w:keepNext w:val="0"/>
        <w:keepLines w:val="0"/>
        <w:pageBreakBefore w:val="0"/>
        <w:kinsoku/>
        <w:wordWrap/>
        <w:overflowPunct/>
        <w:topLinePunct w:val="0"/>
        <w:autoSpaceDE/>
        <w:autoSpaceDN/>
        <w:bidi w:val="0"/>
        <w:adjustRightInd/>
        <w:snapToGrid/>
        <w:spacing w:line="400" w:lineRule="exact"/>
        <w:ind w:firstLine="630" w:firstLineChars="300"/>
        <w:textAlignment w:val="auto"/>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u w:val="single"/>
          <w:lang w:val="en-US" w:eastAsia="zh-CN"/>
        </w:rPr>
        <w:t xml:space="preserve">             </w:t>
      </w:r>
      <w:r>
        <w:rPr>
          <w:rFonts w:hint="eastAsia" w:ascii="仿宋" w:hAnsi="仿宋" w:eastAsia="仿宋" w:cs="仿宋"/>
          <w:bCs/>
          <w:color w:val="auto"/>
          <w:sz w:val="21"/>
          <w:szCs w:val="21"/>
          <w:highlight w:val="none"/>
        </w:rPr>
        <w:t>(姓名）系</w:t>
      </w:r>
      <w:r>
        <w:rPr>
          <w:rFonts w:hint="eastAsia" w:ascii="仿宋" w:hAnsi="仿宋" w:eastAsia="仿宋" w:cs="仿宋"/>
          <w:bCs/>
          <w:color w:val="auto"/>
          <w:sz w:val="21"/>
          <w:szCs w:val="21"/>
          <w:highlight w:val="none"/>
          <w:u w:val="single"/>
          <w:lang w:val="en-US" w:eastAsia="zh-CN"/>
        </w:rPr>
        <w:t xml:space="preserve">             </w:t>
      </w:r>
      <w:r>
        <w:rPr>
          <w:rFonts w:hint="eastAsia" w:ascii="仿宋" w:hAnsi="仿宋" w:eastAsia="仿宋" w:cs="仿宋"/>
          <w:bCs/>
          <w:color w:val="auto"/>
          <w:sz w:val="21"/>
          <w:szCs w:val="21"/>
          <w:highlight w:val="none"/>
        </w:rPr>
        <w:t>（供应商名称）的法定代表人/单位负责人（职务：</w:t>
      </w:r>
      <w:r>
        <w:rPr>
          <w:rFonts w:hint="eastAsia" w:ascii="仿宋" w:hAnsi="仿宋" w:eastAsia="仿宋" w:cs="仿宋"/>
          <w:bCs/>
          <w:color w:val="auto"/>
          <w:sz w:val="21"/>
          <w:szCs w:val="21"/>
          <w:highlight w:val="none"/>
          <w:u w:val="single"/>
          <w:lang w:val="en-US" w:eastAsia="zh-CN"/>
        </w:rPr>
        <w:t xml:space="preserve">             </w:t>
      </w:r>
      <w:r>
        <w:rPr>
          <w:rFonts w:hint="eastAsia" w:ascii="仿宋" w:hAnsi="仿宋" w:eastAsia="仿宋" w:cs="仿宋"/>
          <w:bCs/>
          <w:color w:val="auto"/>
          <w:sz w:val="21"/>
          <w:szCs w:val="21"/>
          <w:highlight w:val="none"/>
        </w:rPr>
        <w:t>,电话：</w:t>
      </w:r>
      <w:r>
        <w:rPr>
          <w:rFonts w:hint="eastAsia" w:ascii="仿宋" w:hAnsi="仿宋" w:eastAsia="仿宋" w:cs="仿宋"/>
          <w:bCs/>
          <w:color w:val="auto"/>
          <w:sz w:val="21"/>
          <w:szCs w:val="21"/>
          <w:highlight w:val="none"/>
          <w:u w:val="single"/>
          <w:lang w:val="en-US" w:eastAsia="zh-CN"/>
        </w:rPr>
        <w:t xml:space="preserve">             </w:t>
      </w:r>
      <w:r>
        <w:rPr>
          <w:rFonts w:hint="eastAsia" w:ascii="仿宋" w:hAnsi="仿宋" w:eastAsia="仿宋" w:cs="仿宋"/>
          <w:bCs/>
          <w:color w:val="auto"/>
          <w:sz w:val="21"/>
          <w:szCs w:val="21"/>
          <w:highlight w:val="none"/>
        </w:rPr>
        <w:t>）。</w:t>
      </w:r>
    </w:p>
    <w:p w14:paraId="33C2323F">
      <w:pPr>
        <w:keepNext w:val="0"/>
        <w:keepLines w:val="0"/>
        <w:pageBreakBefore w:val="0"/>
        <w:kinsoku/>
        <w:wordWrap/>
        <w:overflowPunct/>
        <w:topLinePunct w:val="0"/>
        <w:autoSpaceDE/>
        <w:autoSpaceDN/>
        <w:bidi w:val="0"/>
        <w:adjustRightInd/>
        <w:snapToGrid/>
        <w:spacing w:line="400" w:lineRule="exact"/>
        <w:ind w:firstLine="630" w:firstLineChars="300"/>
        <w:textAlignment w:val="auto"/>
        <w:rPr>
          <w:rFonts w:ascii="仿宋" w:hAnsi="仿宋" w:eastAsia="仿宋" w:cs="仿宋"/>
          <w:bCs/>
          <w:color w:val="auto"/>
          <w:sz w:val="21"/>
          <w:szCs w:val="21"/>
          <w:highlight w:val="none"/>
        </w:rPr>
      </w:pPr>
    </w:p>
    <w:p w14:paraId="4A954802">
      <w:pPr>
        <w:keepNext w:val="0"/>
        <w:keepLines w:val="0"/>
        <w:pageBreakBefore w:val="0"/>
        <w:kinsoku/>
        <w:wordWrap/>
        <w:overflowPunct/>
        <w:topLinePunct w:val="0"/>
        <w:autoSpaceDE/>
        <w:autoSpaceDN/>
        <w:bidi w:val="0"/>
        <w:adjustRightInd/>
        <w:snapToGrid/>
        <w:spacing w:line="400" w:lineRule="exact"/>
        <w:ind w:firstLine="630" w:firstLineChars="300"/>
        <w:textAlignment w:val="auto"/>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特此证明。</w:t>
      </w:r>
    </w:p>
    <w:p w14:paraId="4FFA8569">
      <w:pPr>
        <w:keepNext w:val="0"/>
        <w:keepLines w:val="0"/>
        <w:pageBreakBefore w:val="0"/>
        <w:kinsoku/>
        <w:wordWrap/>
        <w:overflowPunct/>
        <w:topLinePunct w:val="0"/>
        <w:autoSpaceDE/>
        <w:autoSpaceDN/>
        <w:bidi w:val="0"/>
        <w:adjustRightInd/>
        <w:snapToGrid/>
        <w:spacing w:line="400" w:lineRule="exact"/>
        <w:ind w:firstLine="630" w:firstLineChars="300"/>
        <w:textAlignment w:val="auto"/>
        <w:rPr>
          <w:rFonts w:ascii="仿宋" w:hAnsi="仿宋" w:eastAsia="仿宋" w:cs="仿宋"/>
          <w:bCs/>
          <w:color w:val="auto"/>
          <w:sz w:val="21"/>
          <w:szCs w:val="21"/>
          <w:highlight w:val="none"/>
        </w:rPr>
      </w:pPr>
    </w:p>
    <w:p w14:paraId="5579C153">
      <w:pPr>
        <w:keepNext w:val="0"/>
        <w:keepLines w:val="0"/>
        <w:pageBreakBefore w:val="0"/>
        <w:kinsoku/>
        <w:wordWrap/>
        <w:overflowPunct/>
        <w:topLinePunct w:val="0"/>
        <w:autoSpaceDE/>
        <w:autoSpaceDN/>
        <w:bidi w:val="0"/>
        <w:adjustRightInd/>
        <w:snapToGrid/>
        <w:spacing w:line="400" w:lineRule="exact"/>
        <w:textAlignment w:val="auto"/>
        <w:rPr>
          <w:rFonts w:ascii="仿宋" w:hAnsi="仿宋" w:eastAsia="仿宋" w:cs="仿宋"/>
          <w:bCs/>
          <w:color w:val="auto"/>
          <w:sz w:val="21"/>
          <w:szCs w:val="21"/>
          <w:highlight w:val="none"/>
        </w:rPr>
      </w:pPr>
    </w:p>
    <w:p w14:paraId="0C351E67">
      <w:pPr>
        <w:keepNext w:val="0"/>
        <w:keepLines w:val="0"/>
        <w:pageBreakBefore w:val="0"/>
        <w:kinsoku/>
        <w:wordWrap/>
        <w:overflowPunct/>
        <w:topLinePunct w:val="0"/>
        <w:autoSpaceDE/>
        <w:autoSpaceDN/>
        <w:bidi w:val="0"/>
        <w:adjustRightInd/>
        <w:snapToGrid/>
        <w:spacing w:line="400" w:lineRule="exact"/>
        <w:ind w:firstLine="630" w:firstLineChars="300"/>
        <w:textAlignment w:val="auto"/>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附：法定代表人/单位负责人身份证复印件（提供其在有效期的材料，居民身份证正、反面复印件）</w:t>
      </w:r>
    </w:p>
    <w:p w14:paraId="72836802">
      <w:pPr>
        <w:keepNext w:val="0"/>
        <w:keepLines w:val="0"/>
        <w:pageBreakBefore w:val="0"/>
        <w:kinsoku/>
        <w:wordWrap/>
        <w:overflowPunct/>
        <w:topLinePunct w:val="0"/>
        <w:autoSpaceDE/>
        <w:autoSpaceDN/>
        <w:bidi w:val="0"/>
        <w:adjustRightInd/>
        <w:snapToGrid/>
        <w:spacing w:line="400" w:lineRule="exact"/>
        <w:textAlignment w:val="auto"/>
        <w:rPr>
          <w:rFonts w:ascii="仿宋" w:hAnsi="仿宋" w:eastAsia="仿宋" w:cs="仿宋"/>
          <w:bCs/>
          <w:color w:val="auto"/>
          <w:sz w:val="21"/>
          <w:szCs w:val="21"/>
          <w:highlight w:val="none"/>
        </w:rPr>
      </w:pPr>
    </w:p>
    <w:p w14:paraId="0B25E12A">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供应商名称</w:t>
      </w:r>
      <w:r>
        <w:rPr>
          <w:rFonts w:hint="eastAsia" w:ascii="仿宋" w:hAnsi="仿宋" w:eastAsia="仿宋" w:cs="仿宋"/>
          <w:color w:val="auto"/>
          <w:szCs w:val="21"/>
          <w:highlight w:val="none"/>
          <w:lang w:eastAsia="zh-CN"/>
        </w:rPr>
        <w:t>（加盖供应商公章）</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single"/>
        </w:rPr>
        <w:t>XXXXXX</w:t>
      </w:r>
    </w:p>
    <w:p w14:paraId="4CB6701B">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 w:val="21"/>
          <w:szCs w:val="21"/>
          <w:highlight w:val="none"/>
        </w:rPr>
        <w:t>法定代表人/单位负责人（签字或盖章）：XXX</w:t>
      </w:r>
    </w:p>
    <w:p w14:paraId="01CED844">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 期：</w:t>
      </w:r>
      <w:r>
        <w:rPr>
          <w:rFonts w:hint="eastAsia" w:ascii="仿宋" w:hAnsi="仿宋" w:eastAsia="仿宋" w:cs="仿宋"/>
          <w:color w:val="auto"/>
          <w:szCs w:val="21"/>
          <w:highlight w:val="none"/>
          <w:u w:val="single"/>
        </w:rPr>
        <w:t>XXXX</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XX</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XX</w:t>
      </w:r>
      <w:r>
        <w:rPr>
          <w:rFonts w:hint="eastAsia" w:ascii="仿宋" w:hAnsi="仿宋" w:eastAsia="仿宋" w:cs="仿宋"/>
          <w:color w:val="auto"/>
          <w:szCs w:val="21"/>
          <w:highlight w:val="none"/>
        </w:rPr>
        <w:t>日</w:t>
      </w:r>
    </w:p>
    <w:p w14:paraId="7973369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b/>
          <w:color w:val="auto"/>
          <w:sz w:val="21"/>
          <w:szCs w:val="21"/>
          <w:highlight w:val="none"/>
        </w:rPr>
      </w:pPr>
    </w:p>
    <w:p w14:paraId="336B7023">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left"/>
        <w:textAlignment w:val="auto"/>
        <w:rPr>
          <w:rFonts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注：1、供应商为法人单位时提供“法定代表人授权书”，供应商为其他组织时提供“单位负责人授权书”。</w:t>
      </w:r>
    </w:p>
    <w:p w14:paraId="0E279D75">
      <w:pPr>
        <w:keepNext w:val="0"/>
        <w:keepLines w:val="0"/>
        <w:pageBreakBefore w:val="0"/>
        <w:widowControl/>
        <w:kinsoku/>
        <w:wordWrap/>
        <w:overflowPunct/>
        <w:topLinePunct w:val="0"/>
        <w:autoSpaceDE/>
        <w:autoSpaceDN/>
        <w:bidi w:val="0"/>
        <w:adjustRightInd/>
        <w:snapToGrid/>
        <w:spacing w:line="400" w:lineRule="exact"/>
        <w:ind w:left="0" w:leftChars="0" w:firstLine="420" w:firstLineChars="200"/>
        <w:jc w:val="left"/>
        <w:textAlignment w:val="auto"/>
        <w:rPr>
          <w:rFonts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2、应附法定代表人/单位负责人身份证明材料复印件和授权代表身份证明材料复印件。</w:t>
      </w:r>
    </w:p>
    <w:p w14:paraId="3E25F337">
      <w:pPr>
        <w:keepNext w:val="0"/>
        <w:keepLines w:val="0"/>
        <w:pageBreakBefore w:val="0"/>
        <w:widowControl/>
        <w:kinsoku/>
        <w:wordWrap/>
        <w:overflowPunct/>
        <w:topLinePunct w:val="0"/>
        <w:autoSpaceDE/>
        <w:autoSpaceDN/>
        <w:bidi w:val="0"/>
        <w:adjustRightInd/>
        <w:snapToGrid/>
        <w:spacing w:line="400" w:lineRule="exact"/>
        <w:ind w:left="0" w:leftChars="0" w:firstLine="420" w:firstLineChars="200"/>
        <w:jc w:val="left"/>
        <w:textAlignment w:val="auto"/>
        <w:rPr>
          <w:rFonts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3、身份证明材料包括居民身份证或户口本或军官证或护照等。</w:t>
      </w:r>
    </w:p>
    <w:p w14:paraId="42CC6651">
      <w:pPr>
        <w:keepNext w:val="0"/>
        <w:keepLines w:val="0"/>
        <w:pageBreakBefore w:val="0"/>
        <w:widowControl/>
        <w:kinsoku/>
        <w:wordWrap/>
        <w:overflowPunct/>
        <w:topLinePunct w:val="0"/>
        <w:autoSpaceDE/>
        <w:autoSpaceDN/>
        <w:bidi w:val="0"/>
        <w:adjustRightInd/>
        <w:snapToGrid/>
        <w:spacing w:line="400" w:lineRule="exact"/>
        <w:ind w:left="0" w:leftChars="0" w:firstLine="420" w:firstLineChars="200"/>
        <w:jc w:val="left"/>
        <w:textAlignment w:val="auto"/>
        <w:rPr>
          <w:rFonts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4、身份证明材料应同时提供其在有效期的材料，如居民身份证正、反面复印件。</w:t>
      </w:r>
    </w:p>
    <w:p w14:paraId="4B67B3E1">
      <w:pPr>
        <w:pStyle w:val="76"/>
        <w:rPr>
          <w:rFonts w:hint="eastAsia"/>
          <w:color w:val="auto"/>
          <w:highlight w:val="none"/>
          <w:lang w:eastAsia="zh-CN"/>
        </w:rPr>
      </w:pPr>
    </w:p>
    <w:p w14:paraId="470AF7B9">
      <w:pP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6B00D9B3">
      <w:pPr>
        <w:widowControl/>
        <w:spacing w:line="400" w:lineRule="exact"/>
        <w:jc w:val="left"/>
        <w:rPr>
          <w:rFonts w:hint="default" w:ascii="仿宋" w:hAnsi="仿宋" w:eastAsia="仿宋" w:cs="仿宋"/>
          <w:b/>
          <w:color w:val="auto"/>
          <w:szCs w:val="21"/>
          <w:highlight w:val="none"/>
          <w:lang w:val="en-US" w:eastAsia="zh-CN"/>
        </w:rPr>
      </w:pPr>
      <w:r>
        <w:rPr>
          <w:rFonts w:hint="eastAsia" w:ascii="仿宋" w:hAnsi="仿宋" w:eastAsia="仿宋" w:cs="仿宋"/>
          <w:b/>
          <w:color w:val="auto"/>
          <w:szCs w:val="21"/>
          <w:highlight w:val="none"/>
          <w:lang w:eastAsia="zh-CN"/>
        </w:rPr>
        <w:t>格式</w:t>
      </w:r>
      <w:r>
        <w:rPr>
          <w:rFonts w:hint="eastAsia" w:ascii="仿宋" w:hAnsi="仿宋" w:eastAsia="仿宋" w:cs="仿宋"/>
          <w:b/>
          <w:color w:val="auto"/>
          <w:szCs w:val="21"/>
          <w:highlight w:val="none"/>
          <w:lang w:val="en-US" w:eastAsia="zh-CN"/>
        </w:rPr>
        <w:t>4：</w:t>
      </w:r>
      <w:r>
        <w:rPr>
          <w:rFonts w:hint="eastAsia" w:ascii="仿宋" w:hAnsi="仿宋" w:eastAsia="仿宋" w:cs="仿宋"/>
          <w:b/>
          <w:color w:val="auto"/>
          <w:szCs w:val="21"/>
          <w:highlight w:val="none"/>
        </w:rPr>
        <w:t>法定代表人/单位负责人授权书</w:t>
      </w:r>
    </w:p>
    <w:p w14:paraId="78041C9E">
      <w:pPr>
        <w:widowControl/>
        <w:spacing w:line="400" w:lineRule="exact"/>
        <w:jc w:val="center"/>
        <w:rPr>
          <w:rFonts w:hint="eastAsia" w:ascii="仿宋" w:hAnsi="仿宋" w:eastAsia="仿宋" w:cs="仿宋"/>
          <w:b/>
          <w:color w:val="auto"/>
          <w:sz w:val="32"/>
          <w:szCs w:val="32"/>
          <w:highlight w:val="none"/>
        </w:rPr>
      </w:pPr>
    </w:p>
    <w:p w14:paraId="774B8F09">
      <w:pPr>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法定代表人/单位负责人授权书</w:t>
      </w:r>
    </w:p>
    <w:p w14:paraId="055E53B8">
      <w:pPr>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val="zh-CN"/>
        </w:rPr>
        <w:t>（实质性要求</w:t>
      </w:r>
      <w:r>
        <w:rPr>
          <w:rFonts w:hint="eastAsia" w:ascii="仿宋" w:hAnsi="仿宋" w:eastAsia="仿宋" w:cs="仿宋"/>
          <w:b w:val="0"/>
          <w:bCs/>
          <w:color w:val="auto"/>
          <w:sz w:val="21"/>
          <w:szCs w:val="21"/>
          <w:highlight w:val="none"/>
        </w:rPr>
        <w:t>）</w:t>
      </w:r>
    </w:p>
    <w:p w14:paraId="145B8C92">
      <w:pPr>
        <w:pStyle w:val="76"/>
        <w:rPr>
          <w:rFonts w:hint="eastAsia"/>
          <w:color w:val="auto"/>
          <w:highlight w:val="none"/>
        </w:rPr>
      </w:pPr>
    </w:p>
    <w:p w14:paraId="33B63719">
      <w:pPr>
        <w:keepNext w:val="0"/>
        <w:keepLines w:val="0"/>
        <w:pageBreakBefore w:val="0"/>
        <w:kinsoku/>
        <w:wordWrap/>
        <w:overflowPunct/>
        <w:topLinePunct w:val="0"/>
        <w:autoSpaceDE/>
        <w:autoSpaceDN/>
        <w:bidi w:val="0"/>
        <w:adjustRightInd/>
        <w:snapToGrid/>
        <w:spacing w:line="400" w:lineRule="exact"/>
        <w:textAlignment w:val="auto"/>
        <w:rPr>
          <w:rFonts w:ascii="仿宋" w:hAnsi="仿宋" w:eastAsia="仿宋" w:cs="仿宋"/>
          <w:bCs/>
          <w:color w:val="auto"/>
          <w:sz w:val="21"/>
          <w:szCs w:val="21"/>
          <w:highlight w:val="none"/>
        </w:rPr>
      </w:pPr>
      <w:r>
        <w:rPr>
          <w:rFonts w:hint="eastAsia" w:ascii="仿宋" w:hAnsi="仿宋" w:eastAsia="仿宋" w:cs="仿宋"/>
          <w:color w:val="auto"/>
          <w:szCs w:val="21"/>
          <w:highlight w:val="none"/>
          <w:u w:val="single"/>
        </w:rPr>
        <w:t>XXXXXX</w:t>
      </w:r>
      <w:r>
        <w:rPr>
          <w:rFonts w:hint="eastAsia" w:ascii="仿宋" w:hAnsi="仿宋" w:eastAsia="仿宋" w:cs="仿宋"/>
          <w:color w:val="auto"/>
          <w:szCs w:val="21"/>
          <w:highlight w:val="none"/>
        </w:rPr>
        <w:t>（采购人名称）：</w:t>
      </w:r>
    </w:p>
    <w:p w14:paraId="6882D644">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本授权声明：</w:t>
      </w:r>
      <w:r>
        <w:rPr>
          <w:rFonts w:hint="eastAsia" w:ascii="仿宋" w:hAnsi="仿宋" w:eastAsia="仿宋" w:cs="仿宋"/>
          <w:color w:val="auto"/>
          <w:sz w:val="21"/>
          <w:szCs w:val="21"/>
          <w:highlight w:val="none"/>
          <w:u w:val="single"/>
        </w:rPr>
        <w:t>XXX</w:t>
      </w:r>
      <w:r>
        <w:rPr>
          <w:rFonts w:hint="eastAsia" w:ascii="仿宋" w:hAnsi="仿宋" w:eastAsia="仿宋" w:cs="仿宋"/>
          <w:color w:val="auto"/>
          <w:sz w:val="21"/>
          <w:szCs w:val="21"/>
          <w:highlight w:val="none"/>
        </w:rPr>
        <w:t>（单位名称）,</w:t>
      </w:r>
      <w:r>
        <w:rPr>
          <w:rFonts w:hint="eastAsia" w:ascii="仿宋" w:hAnsi="仿宋" w:eastAsia="仿宋" w:cs="仿宋"/>
          <w:color w:val="auto"/>
          <w:sz w:val="21"/>
          <w:szCs w:val="21"/>
          <w:highlight w:val="none"/>
          <w:u w:val="single"/>
        </w:rPr>
        <w:t>XXX</w:t>
      </w:r>
      <w:r>
        <w:rPr>
          <w:rFonts w:hint="eastAsia" w:ascii="仿宋" w:hAnsi="仿宋" w:eastAsia="仿宋" w:cs="仿宋"/>
          <w:color w:val="auto"/>
          <w:sz w:val="21"/>
          <w:szCs w:val="21"/>
          <w:highlight w:val="none"/>
        </w:rPr>
        <w:t>（法定代表人/单位负责人姓名、职务）授权</w:t>
      </w:r>
      <w:r>
        <w:rPr>
          <w:rFonts w:hint="eastAsia" w:ascii="仿宋" w:hAnsi="仿宋" w:eastAsia="仿宋" w:cs="仿宋"/>
          <w:color w:val="auto"/>
          <w:sz w:val="21"/>
          <w:szCs w:val="21"/>
          <w:highlight w:val="none"/>
          <w:u w:val="single"/>
        </w:rPr>
        <w:t>XXX</w:t>
      </w:r>
      <w:r>
        <w:rPr>
          <w:rFonts w:hint="eastAsia" w:ascii="仿宋" w:hAnsi="仿宋" w:eastAsia="仿宋" w:cs="仿宋"/>
          <w:color w:val="auto"/>
          <w:sz w:val="21"/>
          <w:szCs w:val="21"/>
          <w:highlight w:val="none"/>
        </w:rPr>
        <w:t>（被授权人姓名、职务）为我方参加</w:t>
      </w:r>
      <w:r>
        <w:rPr>
          <w:rFonts w:hint="eastAsia" w:ascii="仿宋" w:hAnsi="仿宋" w:eastAsia="仿宋" w:cs="仿宋"/>
          <w:color w:val="auto"/>
          <w:sz w:val="21"/>
          <w:szCs w:val="21"/>
          <w:highlight w:val="none"/>
          <w:u w:val="single"/>
        </w:rPr>
        <w:t>XXX</w:t>
      </w:r>
      <w:r>
        <w:rPr>
          <w:rFonts w:hint="eastAsia" w:ascii="仿宋" w:hAnsi="仿宋" w:eastAsia="仿宋" w:cs="仿宋"/>
          <w:color w:val="auto"/>
          <w:sz w:val="21"/>
          <w:szCs w:val="21"/>
          <w:highlight w:val="none"/>
        </w:rPr>
        <w:t>项目（项目编号：</w:t>
      </w:r>
      <w:r>
        <w:rPr>
          <w:rFonts w:hint="eastAsia" w:ascii="仿宋" w:hAnsi="仿宋" w:eastAsia="仿宋" w:cs="仿宋"/>
          <w:color w:val="auto"/>
          <w:sz w:val="21"/>
          <w:szCs w:val="21"/>
          <w:highlight w:val="none"/>
          <w:u w:val="single"/>
        </w:rPr>
        <w:t>XXX</w:t>
      </w:r>
      <w:r>
        <w:rPr>
          <w:rFonts w:hint="eastAsia" w:ascii="仿宋" w:hAnsi="仿宋" w:eastAsia="仿宋" w:cs="仿宋"/>
          <w:color w:val="auto"/>
          <w:sz w:val="21"/>
          <w:szCs w:val="21"/>
          <w:highlight w:val="none"/>
        </w:rPr>
        <w:t>）谈判采购活动的合法代表，以我方名义全权处理该项目有关谈判、报价、签订合同以及执行合同等一切事宜。</w:t>
      </w:r>
    </w:p>
    <w:p w14:paraId="4AEE7B9F">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特此声明。</w:t>
      </w:r>
    </w:p>
    <w:p w14:paraId="1F3DC9F9">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委托期限：</w:t>
      </w:r>
      <w:r>
        <w:rPr>
          <w:rFonts w:hint="eastAsia" w:ascii="仿宋" w:hAnsi="仿宋" w:eastAsia="仿宋" w:cs="仿宋"/>
          <w:color w:val="auto"/>
          <w:sz w:val="21"/>
          <w:szCs w:val="21"/>
          <w:highlight w:val="none"/>
          <w:u w:val="single"/>
        </w:rPr>
        <w:t>自本授权委托书签署之日起至谈判文件约定的“谈判有效期”结束为止。</w:t>
      </w:r>
    </w:p>
    <w:p w14:paraId="7CB36F54">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代理人无转委托权，特此委托</w:t>
      </w:r>
    </w:p>
    <w:p w14:paraId="69C4B130">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附：法定代表人/单位负责人及被委托人身份证复印件</w:t>
      </w:r>
    </w:p>
    <w:p w14:paraId="2A4E61AA">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color w:val="auto"/>
          <w:sz w:val="21"/>
          <w:szCs w:val="21"/>
          <w:highlight w:val="none"/>
        </w:rPr>
      </w:pPr>
    </w:p>
    <w:p w14:paraId="0B91D441">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color w:val="auto"/>
          <w:sz w:val="21"/>
          <w:szCs w:val="21"/>
          <w:highlight w:val="none"/>
        </w:rPr>
      </w:pPr>
      <w:r>
        <w:rPr>
          <w:rFonts w:hint="eastAsia" w:ascii="仿宋" w:hAnsi="仿宋" w:eastAsia="仿宋" w:cs="仿宋"/>
          <w:color w:val="auto"/>
          <w:szCs w:val="21"/>
          <w:highlight w:val="none"/>
        </w:rPr>
        <w:t>供应商名称</w:t>
      </w:r>
      <w:r>
        <w:rPr>
          <w:rFonts w:hint="eastAsia" w:ascii="仿宋" w:hAnsi="仿宋" w:eastAsia="仿宋" w:cs="仿宋"/>
          <w:color w:val="auto"/>
          <w:szCs w:val="21"/>
          <w:highlight w:val="none"/>
          <w:lang w:eastAsia="zh-CN"/>
        </w:rPr>
        <w:t>（加盖供应商公章）</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single"/>
        </w:rPr>
        <w:t>XXXXXX</w:t>
      </w:r>
    </w:p>
    <w:p w14:paraId="27BAA7CA">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法定代表人/单位负责人（签字或盖章）：XXX</w:t>
      </w:r>
    </w:p>
    <w:p w14:paraId="6B26C4DD">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职    务：XXX</w:t>
      </w:r>
    </w:p>
    <w:p w14:paraId="64C53B90">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被授权人签字：XXX</w:t>
      </w:r>
    </w:p>
    <w:p w14:paraId="443E0EE7">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职    务：XXX</w:t>
      </w:r>
    </w:p>
    <w:p w14:paraId="2ABE1F8A">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日    期：XXX年XXX月XXX日</w:t>
      </w:r>
    </w:p>
    <w:p w14:paraId="1D74E58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b/>
          <w:color w:val="auto"/>
          <w:sz w:val="21"/>
          <w:szCs w:val="21"/>
          <w:highlight w:val="none"/>
        </w:rPr>
      </w:pPr>
    </w:p>
    <w:p w14:paraId="2DE7BA71">
      <w:pPr>
        <w:keepNext w:val="0"/>
        <w:keepLines w:val="0"/>
        <w:pageBreakBefore w:val="0"/>
        <w:widowControl/>
        <w:kinsoku/>
        <w:wordWrap/>
        <w:overflowPunct/>
        <w:topLinePunct w:val="0"/>
        <w:autoSpaceDE/>
        <w:autoSpaceDN/>
        <w:bidi w:val="0"/>
        <w:adjustRightInd/>
        <w:snapToGrid/>
        <w:spacing w:line="400" w:lineRule="exact"/>
        <w:ind w:left="378" w:leftChars="0" w:hanging="378" w:hangingChars="180"/>
        <w:jc w:val="left"/>
        <w:textAlignment w:val="auto"/>
        <w:rPr>
          <w:rFonts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注：1、供应商为法人单位时提供“法定代表人授权书”，供应商为其他组织时提供“单位负责人授权书”，供应商为自然人时提供“自然人身份证明材料”。</w:t>
      </w:r>
    </w:p>
    <w:p w14:paraId="1B44D679">
      <w:pPr>
        <w:keepNext w:val="0"/>
        <w:keepLines w:val="0"/>
        <w:pageBreakBefore w:val="0"/>
        <w:widowControl/>
        <w:kinsoku/>
        <w:wordWrap/>
        <w:overflowPunct/>
        <w:topLinePunct w:val="0"/>
        <w:autoSpaceDE/>
        <w:autoSpaceDN/>
        <w:bidi w:val="0"/>
        <w:adjustRightInd/>
        <w:snapToGrid/>
        <w:spacing w:line="400" w:lineRule="exact"/>
        <w:ind w:left="191" w:leftChars="91" w:firstLine="226" w:firstLineChars="108"/>
        <w:jc w:val="left"/>
        <w:textAlignment w:val="auto"/>
        <w:rPr>
          <w:rFonts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2、应附法定代表人/单位负责人身份证明材料复印件和授权代表身份证明材料复印件。</w:t>
      </w:r>
    </w:p>
    <w:p w14:paraId="0022D5DE">
      <w:pPr>
        <w:keepNext w:val="0"/>
        <w:keepLines w:val="0"/>
        <w:pageBreakBefore w:val="0"/>
        <w:widowControl/>
        <w:kinsoku/>
        <w:wordWrap/>
        <w:overflowPunct/>
        <w:topLinePunct w:val="0"/>
        <w:autoSpaceDE/>
        <w:autoSpaceDN/>
        <w:bidi w:val="0"/>
        <w:adjustRightInd/>
        <w:snapToGrid/>
        <w:spacing w:line="400" w:lineRule="exact"/>
        <w:ind w:left="191" w:leftChars="91" w:firstLine="226" w:firstLineChars="108"/>
        <w:jc w:val="left"/>
        <w:textAlignment w:val="auto"/>
        <w:rPr>
          <w:rFonts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3、身份证明材料包括居民身份证或户口本或军官证或护照等。</w:t>
      </w:r>
    </w:p>
    <w:p w14:paraId="3566E7BB">
      <w:pPr>
        <w:keepNext w:val="0"/>
        <w:keepLines w:val="0"/>
        <w:pageBreakBefore w:val="0"/>
        <w:widowControl/>
        <w:kinsoku/>
        <w:wordWrap/>
        <w:overflowPunct/>
        <w:topLinePunct w:val="0"/>
        <w:autoSpaceDE/>
        <w:autoSpaceDN/>
        <w:bidi w:val="0"/>
        <w:adjustRightInd/>
        <w:snapToGrid/>
        <w:spacing w:line="400" w:lineRule="exact"/>
        <w:ind w:left="191" w:leftChars="91" w:firstLine="226" w:firstLineChars="108"/>
        <w:jc w:val="left"/>
        <w:textAlignment w:val="auto"/>
        <w:rPr>
          <w:rFonts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4、身份证明材料应同时提供其在有效期的材料，如居民身份证正、反面复印件。</w:t>
      </w:r>
    </w:p>
    <w:p w14:paraId="3A093CFC">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br w:type="page"/>
      </w:r>
    </w:p>
    <w:p w14:paraId="2AF7E331">
      <w:pPr>
        <w:widowControl/>
        <w:spacing w:line="400" w:lineRule="exact"/>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格式</w:t>
      </w:r>
      <w:r>
        <w:rPr>
          <w:rFonts w:hint="eastAsia" w:ascii="仿宋" w:hAnsi="仿宋" w:eastAsia="仿宋" w:cs="仿宋"/>
          <w:b/>
          <w:color w:val="auto"/>
          <w:szCs w:val="21"/>
          <w:highlight w:val="none"/>
          <w:lang w:val="en-US" w:eastAsia="zh-CN"/>
        </w:rPr>
        <w:t>5</w:t>
      </w:r>
      <w:r>
        <w:rPr>
          <w:rFonts w:hint="eastAsia" w:ascii="仿宋" w:hAnsi="仿宋" w:eastAsia="仿宋" w:cs="仿宋"/>
          <w:b/>
          <w:color w:val="auto"/>
          <w:szCs w:val="21"/>
          <w:highlight w:val="none"/>
        </w:rPr>
        <w:t>：承诺函</w:t>
      </w:r>
    </w:p>
    <w:p w14:paraId="4EC86684">
      <w:pPr>
        <w:widowControl/>
        <w:spacing w:line="400" w:lineRule="exact"/>
        <w:jc w:val="center"/>
        <w:rPr>
          <w:rFonts w:hint="eastAsia" w:ascii="仿宋" w:hAnsi="仿宋" w:eastAsia="仿宋" w:cs="仿宋"/>
          <w:color w:val="auto"/>
          <w:szCs w:val="21"/>
          <w:highlight w:val="none"/>
        </w:rPr>
      </w:pPr>
    </w:p>
    <w:p w14:paraId="2EF04D5F">
      <w:pPr>
        <w:widowControl/>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承诺函</w:t>
      </w:r>
    </w:p>
    <w:p w14:paraId="178AB541">
      <w:pPr>
        <w:widowControl/>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（实质性要求）</w:t>
      </w:r>
    </w:p>
    <w:p w14:paraId="16B5A1C4">
      <w:pPr>
        <w:widowControl/>
        <w:spacing w:line="400" w:lineRule="exact"/>
        <w:rPr>
          <w:rFonts w:hint="eastAsia" w:ascii="仿宋" w:hAnsi="仿宋" w:eastAsia="仿宋" w:cs="仿宋"/>
          <w:color w:val="auto"/>
          <w:szCs w:val="21"/>
          <w:highlight w:val="none"/>
          <w:u w:val="single"/>
        </w:rPr>
      </w:pPr>
    </w:p>
    <w:p w14:paraId="560448DB">
      <w:pPr>
        <w:widowControl/>
        <w:spacing w:line="400" w:lineRule="exact"/>
        <w:rPr>
          <w:rFonts w:hint="eastAsia" w:ascii="仿宋" w:hAnsi="仿宋" w:eastAsia="仿宋" w:cs="仿宋"/>
          <w:bCs/>
          <w:color w:val="auto"/>
          <w:szCs w:val="21"/>
          <w:highlight w:val="none"/>
        </w:rPr>
      </w:pPr>
      <w:r>
        <w:rPr>
          <w:rFonts w:hint="eastAsia" w:ascii="仿宋" w:hAnsi="仿宋" w:eastAsia="仿宋" w:cs="仿宋"/>
          <w:color w:val="auto"/>
          <w:szCs w:val="21"/>
          <w:highlight w:val="none"/>
          <w:u w:val="single"/>
        </w:rPr>
        <w:t>XXXXXXXX</w:t>
      </w:r>
      <w:r>
        <w:rPr>
          <w:rFonts w:hint="eastAsia" w:ascii="仿宋" w:hAnsi="仿宋" w:eastAsia="仿宋" w:cs="仿宋"/>
          <w:color w:val="auto"/>
          <w:szCs w:val="21"/>
          <w:highlight w:val="none"/>
        </w:rPr>
        <w:t>（采购人名称）：</w:t>
      </w:r>
    </w:p>
    <w:p w14:paraId="446EDE6E">
      <w:pPr>
        <w:pStyle w:val="54"/>
        <w:widowControl/>
        <w:spacing w:line="400" w:lineRule="exact"/>
        <w:ind w:left="420" w:firstLine="0"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我方作为本次采购活动的供应商，根据谈判文件要求，现郑重承诺如下：</w:t>
      </w:r>
    </w:p>
    <w:p w14:paraId="7584BAE4">
      <w:pPr>
        <w:pStyle w:val="54"/>
        <w:widowControl/>
        <w:numPr>
          <w:ilvl w:val="0"/>
          <w:numId w:val="21"/>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我方已认真阅读并接受本项目谈判文件的全部实质性要求。</w:t>
      </w:r>
    </w:p>
    <w:p w14:paraId="584BBAAC">
      <w:pPr>
        <w:pStyle w:val="54"/>
        <w:widowControl/>
        <w:numPr>
          <w:ilvl w:val="0"/>
          <w:numId w:val="21"/>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我方承诺在响应文件有效期</w:t>
      </w:r>
      <w:r>
        <w:rPr>
          <w:rFonts w:hint="eastAsia" w:ascii="仿宋" w:hAnsi="仿宋" w:eastAsia="仿宋" w:cs="仿宋"/>
          <w:color w:val="auto"/>
          <w:szCs w:val="21"/>
          <w:highlight w:val="none"/>
          <w:u w:val="single"/>
        </w:rPr>
        <w:t>XX</w:t>
      </w:r>
      <w:r>
        <w:rPr>
          <w:rFonts w:hint="eastAsia" w:ascii="仿宋" w:hAnsi="仿宋" w:eastAsia="仿宋" w:cs="仿宋"/>
          <w:color w:val="auto"/>
          <w:szCs w:val="21"/>
          <w:highlight w:val="none"/>
        </w:rPr>
        <w:t>天内不撤销响应文件。</w:t>
      </w:r>
    </w:p>
    <w:p w14:paraId="7C1E420C">
      <w:pPr>
        <w:pStyle w:val="54"/>
        <w:widowControl/>
        <w:numPr>
          <w:ilvl w:val="0"/>
          <w:numId w:val="21"/>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响应文件中提供的任何资料和技术、服务、商务等响应承诺情况都是真实的、有效的、合法的。</w:t>
      </w:r>
    </w:p>
    <w:p w14:paraId="44D677F8">
      <w:pPr>
        <w:pStyle w:val="54"/>
        <w:widowControl/>
        <w:numPr>
          <w:ilvl w:val="0"/>
          <w:numId w:val="21"/>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如本项目采购过程中需要提供样品，则我方提供的样品即为成交后将要提供的成交产品，我方对提供样品的性能和质量负责，因样品存在缺陷或者不符合谈判文件要求导致未能成交的，我方愿意承担相应不利后果。</w:t>
      </w:r>
    </w:p>
    <w:p w14:paraId="216D20F9">
      <w:pPr>
        <w:pStyle w:val="54"/>
        <w:widowControl/>
        <w:numPr>
          <w:ilvl w:val="0"/>
          <w:numId w:val="21"/>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国家或行业主管部门对工程项目的技术标准、质量标准和资格资质条件等有强制性规定的，我方承诺符合其要求。</w:t>
      </w:r>
    </w:p>
    <w:p w14:paraId="7D9A95B7">
      <w:pPr>
        <w:pStyle w:val="54"/>
        <w:widowControl/>
        <w:numPr>
          <w:ilvl w:val="0"/>
          <w:numId w:val="21"/>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参加本次采购活动，我方完全同意谈判文件第二章的全部实质性要求，并承诺严格按照谈判文件要求履行。</w:t>
      </w:r>
    </w:p>
    <w:p w14:paraId="1EE56FD6">
      <w:pPr>
        <w:pStyle w:val="54"/>
        <w:widowControl/>
        <w:numPr>
          <w:ilvl w:val="0"/>
          <w:numId w:val="21"/>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我方保证在本项目使用的任何技术、产品和服务（包括部分使用）时，不会产生因第三方提出侵犯其专利权、商标权或其它知识产权而引起的法律和经济纠纷，如因专利权、商标权或其它知识产权而引起法律和经济纠纷，由我方承担所有相关责任。除非谈判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14:paraId="113912C2">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我方对上述声明内容的真实性负责。如经查证声明内容存在虚假，我方愿意依法承担因提供虚假材料谋取成交的法律责任。</w:t>
      </w:r>
    </w:p>
    <w:p w14:paraId="53366952">
      <w:pPr>
        <w:widowControl/>
        <w:spacing w:line="400" w:lineRule="exact"/>
        <w:ind w:firstLine="420" w:firstLineChars="200"/>
        <w:jc w:val="left"/>
        <w:rPr>
          <w:rFonts w:hint="eastAsia" w:ascii="仿宋" w:hAnsi="仿宋" w:eastAsia="仿宋" w:cs="仿宋"/>
          <w:color w:val="auto"/>
          <w:szCs w:val="21"/>
          <w:highlight w:val="none"/>
        </w:rPr>
      </w:pPr>
    </w:p>
    <w:p w14:paraId="7276B55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法定代表或授权代表签字：</w:t>
      </w:r>
    </w:p>
    <w:p w14:paraId="6A7C314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供应商名称</w:t>
      </w:r>
      <w:r>
        <w:rPr>
          <w:rFonts w:hint="eastAsia" w:ascii="仿宋" w:hAnsi="仿宋" w:eastAsia="仿宋" w:cs="仿宋"/>
          <w:color w:val="auto"/>
          <w:szCs w:val="21"/>
          <w:highlight w:val="none"/>
          <w:lang w:eastAsia="zh-CN"/>
        </w:rPr>
        <w:t>（加盖供应商公章）</w:t>
      </w:r>
      <w:r>
        <w:rPr>
          <w:rFonts w:hint="eastAsia" w:ascii="仿宋" w:hAnsi="仿宋" w:eastAsia="仿宋" w:cs="仿宋"/>
          <w:color w:val="auto"/>
          <w:sz w:val="21"/>
          <w:szCs w:val="21"/>
          <w:highlight w:val="none"/>
        </w:rPr>
        <w:t>：</w:t>
      </w:r>
    </w:p>
    <w:p w14:paraId="5E75CAF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color w:val="auto"/>
          <w:sz w:val="21"/>
          <w:szCs w:val="21"/>
          <w:highlight w:val="none"/>
        </w:rPr>
      </w:pPr>
      <w:r>
        <w:rPr>
          <w:rFonts w:hint="eastAsia" w:ascii="仿宋" w:hAnsi="仿宋" w:eastAsia="仿宋" w:cs="仿宋"/>
          <w:color w:val="auto"/>
          <w:szCs w:val="21"/>
          <w:highlight w:val="none"/>
        </w:rPr>
        <w:t>日 期：</w:t>
      </w:r>
      <w:r>
        <w:rPr>
          <w:rFonts w:hint="eastAsia" w:ascii="仿宋" w:hAnsi="仿宋" w:eastAsia="仿宋" w:cs="仿宋"/>
          <w:color w:val="auto"/>
          <w:szCs w:val="21"/>
          <w:highlight w:val="none"/>
          <w:u w:val="single"/>
        </w:rPr>
        <w:t>XXXX</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XX</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XX</w:t>
      </w:r>
      <w:r>
        <w:rPr>
          <w:rFonts w:hint="eastAsia" w:ascii="仿宋" w:hAnsi="仿宋" w:eastAsia="仿宋" w:cs="仿宋"/>
          <w:color w:val="auto"/>
          <w:szCs w:val="21"/>
          <w:highlight w:val="none"/>
        </w:rPr>
        <w:t>日</w:t>
      </w:r>
    </w:p>
    <w:p w14:paraId="6AA489B9">
      <w:pPr>
        <w:widowControl/>
        <w:spacing w:line="400" w:lineRule="exact"/>
        <w:jc w:val="left"/>
        <w:rPr>
          <w:rFonts w:hint="eastAsia" w:ascii="仿宋" w:hAnsi="仿宋" w:eastAsia="仿宋" w:cs="仿宋"/>
          <w:color w:val="auto"/>
          <w:szCs w:val="21"/>
          <w:highlight w:val="none"/>
        </w:rPr>
      </w:pPr>
    </w:p>
    <w:p w14:paraId="3B8140A1">
      <w:pPr>
        <w:widowControl/>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p>
    <w:p w14:paraId="6455CE9D">
      <w:pPr>
        <w:widowControl/>
        <w:spacing w:line="400" w:lineRule="exact"/>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格式</w:t>
      </w:r>
      <w:r>
        <w:rPr>
          <w:rFonts w:hint="eastAsia" w:ascii="仿宋" w:hAnsi="仿宋" w:eastAsia="仿宋" w:cs="仿宋"/>
          <w:b/>
          <w:color w:val="auto"/>
          <w:szCs w:val="21"/>
          <w:highlight w:val="none"/>
          <w:lang w:val="en-US" w:eastAsia="zh-CN"/>
        </w:rPr>
        <w:t>6</w:t>
      </w:r>
      <w:r>
        <w:rPr>
          <w:rFonts w:hint="eastAsia" w:ascii="仿宋" w:hAnsi="仿宋" w:eastAsia="仿宋" w:cs="仿宋"/>
          <w:b/>
          <w:color w:val="auto"/>
          <w:szCs w:val="21"/>
          <w:highlight w:val="none"/>
        </w:rPr>
        <w:t>：首轮报价一览表</w:t>
      </w:r>
    </w:p>
    <w:p w14:paraId="5CA7507E">
      <w:pPr>
        <w:widowControl/>
        <w:spacing w:line="400" w:lineRule="exact"/>
        <w:jc w:val="center"/>
        <w:rPr>
          <w:rFonts w:hint="eastAsia" w:ascii="仿宋" w:hAnsi="仿宋" w:eastAsia="仿宋" w:cs="仿宋"/>
          <w:color w:val="auto"/>
          <w:szCs w:val="21"/>
          <w:highlight w:val="none"/>
        </w:rPr>
      </w:pPr>
    </w:p>
    <w:p w14:paraId="1EA8AD39">
      <w:pPr>
        <w:widowControl/>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首轮报价一览表</w:t>
      </w:r>
    </w:p>
    <w:p w14:paraId="0BE67FA3">
      <w:pPr>
        <w:pStyle w:val="2"/>
        <w:jc w:val="center"/>
        <w:rPr>
          <w:rFonts w:hint="eastAsia" w:ascii="仿宋" w:hAnsi="仿宋" w:eastAsia="仿宋" w:cs="仿宋"/>
          <w:color w:val="auto"/>
          <w:highlight w:val="none"/>
        </w:rPr>
      </w:pPr>
      <w:r>
        <w:rPr>
          <w:rFonts w:hint="eastAsia" w:ascii="仿宋" w:hAnsi="仿宋" w:eastAsia="仿宋" w:cs="仿宋"/>
          <w:color w:val="auto"/>
          <w:highlight w:val="none"/>
        </w:rPr>
        <w:t>（实质性要求）</w:t>
      </w:r>
    </w:p>
    <w:p w14:paraId="3DFAB7DC">
      <w:pPr>
        <w:pStyle w:val="26"/>
        <w:ind w:firstLine="240"/>
        <w:rPr>
          <w:rFonts w:hint="eastAsia" w:ascii="仿宋" w:hAnsi="仿宋" w:eastAsia="仿宋" w:cs="仿宋"/>
          <w:color w:val="auto"/>
          <w:highlight w:val="none"/>
        </w:rPr>
      </w:pPr>
    </w:p>
    <w:tbl>
      <w:tblPr>
        <w:tblStyle w:val="29"/>
        <w:tblW w:w="4990" w:type="pct"/>
        <w:jc w:val="center"/>
        <w:tblLayout w:type="fixed"/>
        <w:tblCellMar>
          <w:top w:w="0" w:type="dxa"/>
          <w:left w:w="108" w:type="dxa"/>
          <w:bottom w:w="0" w:type="dxa"/>
          <w:right w:w="108" w:type="dxa"/>
        </w:tblCellMar>
      </w:tblPr>
      <w:tblGrid>
        <w:gridCol w:w="1444"/>
        <w:gridCol w:w="1170"/>
        <w:gridCol w:w="1124"/>
        <w:gridCol w:w="2045"/>
        <w:gridCol w:w="777"/>
        <w:gridCol w:w="737"/>
        <w:gridCol w:w="1391"/>
        <w:gridCol w:w="1255"/>
      </w:tblGrid>
      <w:tr w14:paraId="16ACA64E">
        <w:tblPrEx>
          <w:tblCellMar>
            <w:top w:w="0" w:type="dxa"/>
            <w:left w:w="108" w:type="dxa"/>
            <w:bottom w:w="0" w:type="dxa"/>
            <w:right w:w="108" w:type="dxa"/>
          </w:tblCellMar>
        </w:tblPrEx>
        <w:trPr>
          <w:trHeight w:val="624" w:hRule="atLeast"/>
          <w:jc w:val="center"/>
        </w:trPr>
        <w:tc>
          <w:tcPr>
            <w:tcW w:w="1314" w:type="pct"/>
            <w:gridSpan w:val="2"/>
            <w:tcBorders>
              <w:top w:val="single" w:color="auto" w:sz="4" w:space="0"/>
              <w:left w:val="single" w:color="auto" w:sz="4" w:space="0"/>
              <w:bottom w:val="single" w:color="auto" w:sz="4" w:space="0"/>
              <w:right w:val="single" w:color="auto" w:sz="4" w:space="0"/>
            </w:tcBorders>
            <w:noWrap/>
            <w:vAlign w:val="center"/>
          </w:tcPr>
          <w:p w14:paraId="0F024438">
            <w:pPr>
              <w:jc w:val="center"/>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项目名称</w:t>
            </w:r>
          </w:p>
        </w:tc>
        <w:tc>
          <w:tcPr>
            <w:tcW w:w="3685" w:type="pct"/>
            <w:gridSpan w:val="6"/>
            <w:tcBorders>
              <w:top w:val="single" w:color="auto" w:sz="4" w:space="0"/>
              <w:left w:val="nil"/>
              <w:bottom w:val="single" w:color="auto" w:sz="4" w:space="0"/>
              <w:right w:val="single" w:color="auto" w:sz="4" w:space="0"/>
            </w:tcBorders>
            <w:noWrap/>
            <w:vAlign w:val="center"/>
          </w:tcPr>
          <w:p w14:paraId="466F7891">
            <w:pPr>
              <w:rPr>
                <w:rFonts w:ascii="仿宋" w:hAnsi="仿宋" w:eastAsia="仿宋" w:cs="仿宋"/>
                <w:bCs/>
                <w:color w:val="auto"/>
                <w:sz w:val="21"/>
                <w:szCs w:val="21"/>
                <w:highlight w:val="none"/>
              </w:rPr>
            </w:pPr>
          </w:p>
        </w:tc>
      </w:tr>
      <w:tr w14:paraId="3AB16CA3">
        <w:tblPrEx>
          <w:tblCellMar>
            <w:top w:w="0" w:type="dxa"/>
            <w:left w:w="108" w:type="dxa"/>
            <w:bottom w:w="0" w:type="dxa"/>
            <w:right w:w="108" w:type="dxa"/>
          </w:tblCellMar>
        </w:tblPrEx>
        <w:trPr>
          <w:trHeight w:val="624" w:hRule="atLeast"/>
          <w:jc w:val="center"/>
        </w:trPr>
        <w:tc>
          <w:tcPr>
            <w:tcW w:w="1314" w:type="pct"/>
            <w:gridSpan w:val="2"/>
            <w:tcBorders>
              <w:top w:val="single" w:color="auto" w:sz="4" w:space="0"/>
              <w:left w:val="single" w:color="auto" w:sz="4" w:space="0"/>
              <w:bottom w:val="single" w:color="auto" w:sz="4" w:space="0"/>
              <w:right w:val="single" w:color="auto" w:sz="4" w:space="0"/>
            </w:tcBorders>
            <w:noWrap/>
            <w:vAlign w:val="center"/>
          </w:tcPr>
          <w:p w14:paraId="12633DBA">
            <w:pPr>
              <w:jc w:val="center"/>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项目编号</w:t>
            </w:r>
          </w:p>
        </w:tc>
        <w:tc>
          <w:tcPr>
            <w:tcW w:w="3685" w:type="pct"/>
            <w:gridSpan w:val="6"/>
            <w:tcBorders>
              <w:top w:val="single" w:color="auto" w:sz="4" w:space="0"/>
              <w:left w:val="nil"/>
              <w:bottom w:val="single" w:color="auto" w:sz="4" w:space="0"/>
              <w:right w:val="single" w:color="auto" w:sz="4" w:space="0"/>
            </w:tcBorders>
            <w:noWrap/>
            <w:vAlign w:val="center"/>
          </w:tcPr>
          <w:p w14:paraId="4A81B3D3">
            <w:pPr>
              <w:rPr>
                <w:rFonts w:ascii="仿宋" w:hAnsi="仿宋" w:eastAsia="仿宋" w:cs="仿宋"/>
                <w:bCs/>
                <w:color w:val="auto"/>
                <w:sz w:val="21"/>
                <w:szCs w:val="21"/>
                <w:highlight w:val="none"/>
              </w:rPr>
            </w:pPr>
          </w:p>
        </w:tc>
      </w:tr>
      <w:tr w14:paraId="5F8EB8A9">
        <w:tblPrEx>
          <w:tblCellMar>
            <w:top w:w="0" w:type="dxa"/>
            <w:left w:w="108" w:type="dxa"/>
            <w:bottom w:w="0" w:type="dxa"/>
            <w:right w:w="108" w:type="dxa"/>
          </w:tblCellMar>
        </w:tblPrEx>
        <w:trPr>
          <w:trHeight w:val="624" w:hRule="atLeast"/>
          <w:jc w:val="center"/>
        </w:trPr>
        <w:tc>
          <w:tcPr>
            <w:tcW w:w="726" w:type="pct"/>
            <w:tcBorders>
              <w:top w:val="nil"/>
              <w:left w:val="single" w:color="auto" w:sz="4" w:space="0"/>
              <w:bottom w:val="single" w:color="auto" w:sz="4" w:space="0"/>
              <w:right w:val="single" w:color="auto" w:sz="4" w:space="0"/>
            </w:tcBorders>
            <w:noWrap/>
            <w:vAlign w:val="center"/>
          </w:tcPr>
          <w:p w14:paraId="475ECE36">
            <w:pPr>
              <w:jc w:val="center"/>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序号</w:t>
            </w:r>
          </w:p>
        </w:tc>
        <w:tc>
          <w:tcPr>
            <w:tcW w:w="1153" w:type="pct"/>
            <w:gridSpan w:val="2"/>
            <w:tcBorders>
              <w:top w:val="nil"/>
              <w:left w:val="nil"/>
              <w:bottom w:val="single" w:color="auto" w:sz="4" w:space="0"/>
              <w:right w:val="single" w:color="auto" w:sz="4" w:space="0"/>
            </w:tcBorders>
            <w:noWrap/>
            <w:vAlign w:val="center"/>
          </w:tcPr>
          <w:p w14:paraId="7DCCCFC2">
            <w:pPr>
              <w:jc w:val="center"/>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采购标的</w:t>
            </w:r>
          </w:p>
        </w:tc>
        <w:tc>
          <w:tcPr>
            <w:tcW w:w="1028" w:type="pct"/>
            <w:tcBorders>
              <w:top w:val="nil"/>
              <w:left w:val="nil"/>
              <w:bottom w:val="single" w:color="auto" w:sz="4" w:space="0"/>
              <w:right w:val="single" w:color="auto" w:sz="4" w:space="0"/>
            </w:tcBorders>
            <w:noWrap/>
            <w:vAlign w:val="center"/>
          </w:tcPr>
          <w:p w14:paraId="1DE0F432">
            <w:pPr>
              <w:jc w:val="center"/>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服务期限</w:t>
            </w:r>
          </w:p>
        </w:tc>
        <w:tc>
          <w:tcPr>
            <w:tcW w:w="390" w:type="pct"/>
            <w:tcBorders>
              <w:top w:val="nil"/>
              <w:left w:val="nil"/>
              <w:bottom w:val="single" w:color="auto" w:sz="4" w:space="0"/>
              <w:right w:val="single" w:color="auto" w:sz="4" w:space="0"/>
            </w:tcBorders>
            <w:noWrap/>
            <w:vAlign w:val="center"/>
          </w:tcPr>
          <w:p w14:paraId="6052F07A">
            <w:pPr>
              <w:pStyle w:val="75"/>
              <w:wordWrap w:val="0"/>
              <w:spacing w:line="320" w:lineRule="exact"/>
              <w:ind w:left="38"/>
              <w:jc w:val="center"/>
              <w:rPr>
                <w:rFonts w:hint="eastAsia" w:ascii="仿宋" w:hAnsi="仿宋" w:eastAsia="宋体" w:cs="仿宋"/>
                <w:bCs/>
                <w:color w:val="auto"/>
                <w:sz w:val="21"/>
                <w:szCs w:val="21"/>
                <w:highlight w:val="none"/>
                <w:lang w:val="en-US" w:eastAsia="zh-CN"/>
              </w:rPr>
            </w:pPr>
            <w:r>
              <w:rPr>
                <w:rFonts w:hint="eastAsia" w:ascii="仿宋" w:hAnsi="仿宋" w:eastAsia="仿宋" w:cs="仿宋"/>
                <w:bCs/>
                <w:color w:val="auto"/>
                <w:kern w:val="2"/>
                <w:sz w:val="21"/>
                <w:szCs w:val="21"/>
                <w:highlight w:val="none"/>
                <w:lang w:val="en-US" w:eastAsia="zh-CN"/>
              </w:rPr>
              <w:t>数量</w:t>
            </w:r>
          </w:p>
        </w:tc>
        <w:tc>
          <w:tcPr>
            <w:tcW w:w="370" w:type="pct"/>
            <w:tcBorders>
              <w:top w:val="nil"/>
              <w:left w:val="nil"/>
              <w:bottom w:val="single" w:color="auto" w:sz="4" w:space="0"/>
              <w:right w:val="single" w:color="auto" w:sz="4" w:space="0"/>
            </w:tcBorders>
            <w:noWrap/>
            <w:vAlign w:val="center"/>
          </w:tcPr>
          <w:p w14:paraId="15356513">
            <w:pPr>
              <w:pStyle w:val="75"/>
              <w:wordWrap w:val="0"/>
              <w:spacing w:line="320" w:lineRule="exact"/>
              <w:ind w:left="38"/>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单位</w:t>
            </w:r>
          </w:p>
        </w:tc>
        <w:tc>
          <w:tcPr>
            <w:tcW w:w="699" w:type="pct"/>
            <w:tcBorders>
              <w:top w:val="nil"/>
              <w:left w:val="nil"/>
              <w:bottom w:val="single" w:color="auto" w:sz="4" w:space="0"/>
              <w:right w:val="single" w:color="auto" w:sz="4" w:space="0"/>
            </w:tcBorders>
            <w:noWrap/>
            <w:vAlign w:val="center"/>
          </w:tcPr>
          <w:p w14:paraId="604EA840">
            <w:pPr>
              <w:jc w:val="center"/>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eastAsia="zh-CN"/>
              </w:rPr>
              <w:t>单价</w:t>
            </w:r>
            <w:r>
              <w:rPr>
                <w:rFonts w:hint="eastAsia" w:ascii="仿宋" w:hAnsi="仿宋" w:eastAsia="仿宋" w:cs="仿宋"/>
                <w:bCs/>
                <w:color w:val="auto"/>
                <w:sz w:val="21"/>
                <w:szCs w:val="21"/>
                <w:highlight w:val="none"/>
              </w:rPr>
              <w:t>（元）</w:t>
            </w:r>
          </w:p>
        </w:tc>
        <w:tc>
          <w:tcPr>
            <w:tcW w:w="631" w:type="pct"/>
            <w:tcBorders>
              <w:top w:val="nil"/>
              <w:left w:val="nil"/>
              <w:bottom w:val="single" w:color="auto" w:sz="4" w:space="0"/>
              <w:right w:val="single" w:color="auto" w:sz="4" w:space="0"/>
            </w:tcBorders>
            <w:noWrap/>
            <w:vAlign w:val="center"/>
          </w:tcPr>
          <w:p w14:paraId="33708137">
            <w:pPr>
              <w:jc w:val="center"/>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总价（元）</w:t>
            </w:r>
          </w:p>
        </w:tc>
      </w:tr>
      <w:tr w14:paraId="0568B289">
        <w:tblPrEx>
          <w:tblCellMar>
            <w:top w:w="0" w:type="dxa"/>
            <w:left w:w="108" w:type="dxa"/>
            <w:bottom w:w="0" w:type="dxa"/>
            <w:right w:w="108" w:type="dxa"/>
          </w:tblCellMar>
        </w:tblPrEx>
        <w:trPr>
          <w:trHeight w:val="312" w:hRule="atLeast"/>
          <w:jc w:val="center"/>
        </w:trPr>
        <w:tc>
          <w:tcPr>
            <w:tcW w:w="726" w:type="pct"/>
            <w:tcBorders>
              <w:top w:val="nil"/>
              <w:left w:val="single" w:color="auto" w:sz="4" w:space="0"/>
              <w:bottom w:val="single" w:color="auto" w:sz="4" w:space="0"/>
              <w:right w:val="single" w:color="auto" w:sz="4" w:space="0"/>
            </w:tcBorders>
            <w:noWrap/>
            <w:vAlign w:val="center"/>
          </w:tcPr>
          <w:p w14:paraId="61C78291">
            <w:pPr>
              <w:jc w:val="center"/>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1</w:t>
            </w:r>
          </w:p>
        </w:tc>
        <w:tc>
          <w:tcPr>
            <w:tcW w:w="1153" w:type="pct"/>
            <w:gridSpan w:val="2"/>
            <w:tcBorders>
              <w:top w:val="nil"/>
              <w:left w:val="nil"/>
              <w:bottom w:val="single" w:color="auto" w:sz="4" w:space="0"/>
              <w:right w:val="single" w:color="auto" w:sz="4" w:space="0"/>
            </w:tcBorders>
            <w:noWrap/>
            <w:vAlign w:val="center"/>
          </w:tcPr>
          <w:p w14:paraId="6ECFD1A8">
            <w:pPr>
              <w:jc w:val="center"/>
              <w:rPr>
                <w:rFonts w:ascii="仿宋" w:hAnsi="仿宋" w:eastAsia="仿宋" w:cs="仿宋"/>
                <w:bCs/>
                <w:color w:val="auto"/>
                <w:sz w:val="21"/>
                <w:szCs w:val="21"/>
                <w:highlight w:val="none"/>
              </w:rPr>
            </w:pPr>
          </w:p>
        </w:tc>
        <w:tc>
          <w:tcPr>
            <w:tcW w:w="1028" w:type="pct"/>
            <w:tcBorders>
              <w:top w:val="nil"/>
              <w:left w:val="nil"/>
              <w:bottom w:val="single" w:color="auto" w:sz="4" w:space="0"/>
              <w:right w:val="single" w:color="auto" w:sz="4" w:space="0"/>
            </w:tcBorders>
            <w:noWrap/>
            <w:vAlign w:val="center"/>
          </w:tcPr>
          <w:p w14:paraId="658B91A9">
            <w:pPr>
              <w:jc w:val="center"/>
              <w:rPr>
                <w:rFonts w:ascii="仿宋" w:hAnsi="仿宋" w:eastAsia="仿宋" w:cs="仿宋"/>
                <w:bCs/>
                <w:color w:val="auto"/>
                <w:sz w:val="21"/>
                <w:szCs w:val="21"/>
                <w:highlight w:val="none"/>
              </w:rPr>
            </w:pPr>
          </w:p>
        </w:tc>
        <w:tc>
          <w:tcPr>
            <w:tcW w:w="390" w:type="pct"/>
            <w:tcBorders>
              <w:top w:val="nil"/>
              <w:left w:val="nil"/>
              <w:bottom w:val="single" w:color="auto" w:sz="4" w:space="0"/>
              <w:right w:val="single" w:color="auto" w:sz="4" w:space="0"/>
            </w:tcBorders>
            <w:noWrap/>
            <w:vAlign w:val="center"/>
          </w:tcPr>
          <w:p w14:paraId="1FE38A7C">
            <w:pPr>
              <w:jc w:val="center"/>
              <w:rPr>
                <w:rFonts w:ascii="仿宋" w:hAnsi="仿宋" w:eastAsia="仿宋" w:cs="仿宋"/>
                <w:bCs/>
                <w:color w:val="auto"/>
                <w:sz w:val="21"/>
                <w:szCs w:val="21"/>
                <w:highlight w:val="none"/>
              </w:rPr>
            </w:pPr>
          </w:p>
        </w:tc>
        <w:tc>
          <w:tcPr>
            <w:tcW w:w="370" w:type="pct"/>
            <w:tcBorders>
              <w:top w:val="nil"/>
              <w:left w:val="nil"/>
              <w:bottom w:val="single" w:color="auto" w:sz="4" w:space="0"/>
              <w:right w:val="single" w:color="auto" w:sz="4" w:space="0"/>
            </w:tcBorders>
            <w:noWrap/>
            <w:vAlign w:val="center"/>
          </w:tcPr>
          <w:p w14:paraId="4B60EFF3">
            <w:pPr>
              <w:jc w:val="center"/>
              <w:rPr>
                <w:rFonts w:ascii="仿宋" w:hAnsi="仿宋" w:eastAsia="仿宋" w:cs="仿宋"/>
                <w:bCs/>
                <w:color w:val="auto"/>
                <w:sz w:val="21"/>
                <w:szCs w:val="21"/>
                <w:highlight w:val="none"/>
              </w:rPr>
            </w:pPr>
          </w:p>
        </w:tc>
        <w:tc>
          <w:tcPr>
            <w:tcW w:w="699" w:type="pct"/>
            <w:tcBorders>
              <w:top w:val="nil"/>
              <w:left w:val="nil"/>
              <w:bottom w:val="single" w:color="auto" w:sz="4" w:space="0"/>
              <w:right w:val="single" w:color="auto" w:sz="4" w:space="0"/>
            </w:tcBorders>
            <w:noWrap/>
            <w:vAlign w:val="center"/>
          </w:tcPr>
          <w:p w14:paraId="33F19B18">
            <w:pPr>
              <w:widowControl/>
              <w:spacing w:line="360" w:lineRule="auto"/>
              <w:jc w:val="center"/>
              <w:rPr>
                <w:rFonts w:ascii="仿宋" w:hAnsi="仿宋" w:eastAsia="仿宋" w:cs="仿宋"/>
                <w:bCs/>
                <w:color w:val="auto"/>
                <w:sz w:val="21"/>
                <w:szCs w:val="21"/>
                <w:highlight w:val="none"/>
              </w:rPr>
            </w:pPr>
          </w:p>
        </w:tc>
        <w:tc>
          <w:tcPr>
            <w:tcW w:w="631" w:type="pct"/>
            <w:tcBorders>
              <w:top w:val="nil"/>
              <w:left w:val="nil"/>
              <w:bottom w:val="single" w:color="auto" w:sz="4" w:space="0"/>
              <w:right w:val="single" w:color="auto" w:sz="4" w:space="0"/>
            </w:tcBorders>
            <w:noWrap/>
            <w:vAlign w:val="center"/>
          </w:tcPr>
          <w:p w14:paraId="1B28004C">
            <w:pPr>
              <w:widowControl/>
              <w:spacing w:line="360" w:lineRule="auto"/>
              <w:jc w:val="center"/>
              <w:rPr>
                <w:rFonts w:ascii="仿宋" w:hAnsi="仿宋" w:eastAsia="仿宋" w:cs="仿宋"/>
                <w:bCs/>
                <w:color w:val="auto"/>
                <w:sz w:val="21"/>
                <w:szCs w:val="21"/>
                <w:highlight w:val="none"/>
              </w:rPr>
            </w:pPr>
          </w:p>
        </w:tc>
      </w:tr>
      <w:tr w14:paraId="0706FD67">
        <w:tblPrEx>
          <w:tblCellMar>
            <w:top w:w="0" w:type="dxa"/>
            <w:left w:w="108" w:type="dxa"/>
            <w:bottom w:w="0" w:type="dxa"/>
            <w:right w:w="108" w:type="dxa"/>
          </w:tblCellMar>
        </w:tblPrEx>
        <w:trPr>
          <w:trHeight w:val="312" w:hRule="atLeast"/>
          <w:jc w:val="center"/>
        </w:trPr>
        <w:tc>
          <w:tcPr>
            <w:tcW w:w="726" w:type="pct"/>
            <w:tcBorders>
              <w:top w:val="nil"/>
              <w:left w:val="single" w:color="auto" w:sz="4" w:space="0"/>
              <w:bottom w:val="single" w:color="auto" w:sz="4" w:space="0"/>
              <w:right w:val="single" w:color="auto" w:sz="4" w:space="0"/>
            </w:tcBorders>
            <w:noWrap/>
            <w:vAlign w:val="center"/>
          </w:tcPr>
          <w:p w14:paraId="22B294D8">
            <w:pPr>
              <w:widowControl/>
              <w:spacing w:line="360" w:lineRule="auto"/>
              <w:jc w:val="center"/>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w:t>
            </w:r>
          </w:p>
        </w:tc>
        <w:tc>
          <w:tcPr>
            <w:tcW w:w="1153" w:type="pct"/>
            <w:gridSpan w:val="2"/>
            <w:tcBorders>
              <w:top w:val="nil"/>
              <w:left w:val="nil"/>
              <w:bottom w:val="single" w:color="auto" w:sz="4" w:space="0"/>
              <w:right w:val="single" w:color="auto" w:sz="4" w:space="0"/>
            </w:tcBorders>
            <w:noWrap/>
            <w:vAlign w:val="center"/>
          </w:tcPr>
          <w:p w14:paraId="791D515A">
            <w:pPr>
              <w:widowControl/>
              <w:spacing w:line="360" w:lineRule="auto"/>
              <w:jc w:val="center"/>
              <w:rPr>
                <w:rFonts w:hint="eastAsia" w:ascii="仿宋" w:hAnsi="仿宋" w:eastAsia="仿宋" w:cs="仿宋"/>
                <w:bCs/>
                <w:color w:val="auto"/>
                <w:sz w:val="21"/>
                <w:szCs w:val="21"/>
                <w:highlight w:val="none"/>
              </w:rPr>
            </w:pPr>
          </w:p>
        </w:tc>
        <w:tc>
          <w:tcPr>
            <w:tcW w:w="1028" w:type="pct"/>
            <w:tcBorders>
              <w:top w:val="nil"/>
              <w:left w:val="nil"/>
              <w:bottom w:val="single" w:color="auto" w:sz="4" w:space="0"/>
              <w:right w:val="single" w:color="auto" w:sz="4" w:space="0"/>
            </w:tcBorders>
            <w:noWrap/>
            <w:vAlign w:val="center"/>
          </w:tcPr>
          <w:p w14:paraId="198BC979">
            <w:pPr>
              <w:widowControl/>
              <w:spacing w:line="360" w:lineRule="auto"/>
              <w:jc w:val="center"/>
              <w:rPr>
                <w:rFonts w:hint="eastAsia" w:ascii="仿宋" w:hAnsi="仿宋" w:eastAsia="仿宋" w:cs="仿宋"/>
                <w:bCs/>
                <w:color w:val="auto"/>
                <w:sz w:val="21"/>
                <w:szCs w:val="21"/>
                <w:highlight w:val="none"/>
              </w:rPr>
            </w:pPr>
          </w:p>
        </w:tc>
        <w:tc>
          <w:tcPr>
            <w:tcW w:w="390" w:type="pct"/>
            <w:tcBorders>
              <w:top w:val="nil"/>
              <w:left w:val="nil"/>
              <w:bottom w:val="single" w:color="auto" w:sz="4" w:space="0"/>
              <w:right w:val="single" w:color="auto" w:sz="4" w:space="0"/>
            </w:tcBorders>
            <w:noWrap/>
            <w:vAlign w:val="center"/>
          </w:tcPr>
          <w:p w14:paraId="5CC5901F">
            <w:pPr>
              <w:widowControl/>
              <w:spacing w:line="360" w:lineRule="auto"/>
              <w:jc w:val="center"/>
              <w:rPr>
                <w:rFonts w:hint="eastAsia" w:ascii="仿宋" w:hAnsi="仿宋" w:eastAsia="仿宋" w:cs="仿宋"/>
                <w:bCs/>
                <w:color w:val="auto"/>
                <w:sz w:val="21"/>
                <w:szCs w:val="21"/>
                <w:highlight w:val="none"/>
              </w:rPr>
            </w:pPr>
          </w:p>
        </w:tc>
        <w:tc>
          <w:tcPr>
            <w:tcW w:w="370" w:type="pct"/>
            <w:tcBorders>
              <w:top w:val="nil"/>
              <w:left w:val="nil"/>
              <w:bottom w:val="single" w:color="auto" w:sz="4" w:space="0"/>
              <w:right w:val="single" w:color="auto" w:sz="4" w:space="0"/>
            </w:tcBorders>
            <w:noWrap/>
            <w:vAlign w:val="center"/>
          </w:tcPr>
          <w:p w14:paraId="0D757BBB">
            <w:pPr>
              <w:widowControl/>
              <w:spacing w:line="360" w:lineRule="auto"/>
              <w:jc w:val="center"/>
              <w:rPr>
                <w:rFonts w:hint="eastAsia" w:ascii="仿宋" w:hAnsi="仿宋" w:eastAsia="仿宋" w:cs="仿宋"/>
                <w:bCs/>
                <w:color w:val="auto"/>
                <w:sz w:val="21"/>
                <w:szCs w:val="21"/>
                <w:highlight w:val="none"/>
              </w:rPr>
            </w:pPr>
          </w:p>
        </w:tc>
        <w:tc>
          <w:tcPr>
            <w:tcW w:w="699" w:type="pct"/>
            <w:tcBorders>
              <w:top w:val="nil"/>
              <w:left w:val="nil"/>
              <w:bottom w:val="single" w:color="auto" w:sz="4" w:space="0"/>
              <w:right w:val="single" w:color="auto" w:sz="4" w:space="0"/>
            </w:tcBorders>
            <w:noWrap/>
            <w:vAlign w:val="center"/>
          </w:tcPr>
          <w:p w14:paraId="2C7AB71B">
            <w:pPr>
              <w:widowControl/>
              <w:spacing w:line="360" w:lineRule="auto"/>
              <w:jc w:val="center"/>
              <w:rPr>
                <w:rFonts w:hint="eastAsia" w:ascii="仿宋" w:hAnsi="仿宋" w:eastAsia="仿宋" w:cs="仿宋"/>
                <w:bCs/>
                <w:color w:val="auto"/>
                <w:sz w:val="21"/>
                <w:szCs w:val="21"/>
                <w:highlight w:val="none"/>
              </w:rPr>
            </w:pPr>
          </w:p>
        </w:tc>
        <w:tc>
          <w:tcPr>
            <w:tcW w:w="631" w:type="pct"/>
            <w:tcBorders>
              <w:top w:val="nil"/>
              <w:left w:val="nil"/>
              <w:bottom w:val="single" w:color="auto" w:sz="4" w:space="0"/>
              <w:right w:val="single" w:color="auto" w:sz="4" w:space="0"/>
            </w:tcBorders>
            <w:noWrap/>
            <w:vAlign w:val="center"/>
          </w:tcPr>
          <w:p w14:paraId="47800A22">
            <w:pPr>
              <w:widowControl/>
              <w:spacing w:line="360" w:lineRule="auto"/>
              <w:jc w:val="center"/>
              <w:rPr>
                <w:rFonts w:hint="eastAsia" w:ascii="仿宋" w:hAnsi="仿宋" w:eastAsia="仿宋" w:cs="仿宋"/>
                <w:bCs/>
                <w:color w:val="auto"/>
                <w:sz w:val="21"/>
                <w:szCs w:val="21"/>
                <w:highlight w:val="none"/>
              </w:rPr>
            </w:pPr>
          </w:p>
        </w:tc>
      </w:tr>
      <w:tr w14:paraId="4AC365C0">
        <w:tblPrEx>
          <w:tblCellMar>
            <w:top w:w="0" w:type="dxa"/>
            <w:left w:w="108" w:type="dxa"/>
            <w:bottom w:w="0" w:type="dxa"/>
            <w:right w:w="108" w:type="dxa"/>
          </w:tblCellMar>
        </w:tblPrEx>
        <w:trPr>
          <w:trHeight w:val="624" w:hRule="atLeast"/>
          <w:jc w:val="center"/>
        </w:trPr>
        <w:tc>
          <w:tcPr>
            <w:tcW w:w="726" w:type="pct"/>
            <w:tcBorders>
              <w:top w:val="single" w:color="auto" w:sz="4" w:space="0"/>
              <w:left w:val="single" w:color="auto" w:sz="4" w:space="0"/>
              <w:bottom w:val="single" w:color="auto" w:sz="4" w:space="0"/>
              <w:right w:val="single" w:color="auto" w:sz="4" w:space="0"/>
            </w:tcBorders>
            <w:noWrap/>
            <w:vAlign w:val="center"/>
          </w:tcPr>
          <w:p w14:paraId="6BE58C14">
            <w:pPr>
              <w:jc w:val="center"/>
              <w:rPr>
                <w:rFonts w:ascii="仿宋" w:hAnsi="仿宋" w:eastAsia="仿宋" w:cs="仿宋"/>
                <w:color w:val="auto"/>
                <w:sz w:val="21"/>
                <w:szCs w:val="21"/>
                <w:highlight w:val="none"/>
              </w:rPr>
            </w:pPr>
            <w:r>
              <w:rPr>
                <w:rFonts w:hint="eastAsia" w:ascii="仿宋" w:hAnsi="仿宋" w:eastAsia="仿宋" w:cs="仿宋"/>
                <w:bCs/>
                <w:color w:val="auto"/>
                <w:sz w:val="21"/>
                <w:szCs w:val="21"/>
                <w:highlight w:val="none"/>
                <w:lang w:eastAsia="zh-CN"/>
              </w:rPr>
              <w:t>谈判</w:t>
            </w:r>
            <w:r>
              <w:rPr>
                <w:rFonts w:hint="eastAsia" w:ascii="仿宋" w:hAnsi="仿宋" w:eastAsia="仿宋" w:cs="仿宋"/>
                <w:bCs/>
                <w:color w:val="auto"/>
                <w:sz w:val="21"/>
                <w:szCs w:val="21"/>
                <w:highlight w:val="none"/>
              </w:rPr>
              <w:t>总价</w:t>
            </w:r>
          </w:p>
        </w:tc>
        <w:tc>
          <w:tcPr>
            <w:tcW w:w="4273" w:type="pct"/>
            <w:gridSpan w:val="7"/>
            <w:tcBorders>
              <w:top w:val="single" w:color="auto" w:sz="4" w:space="0"/>
              <w:left w:val="nil"/>
              <w:bottom w:val="single" w:color="auto" w:sz="4" w:space="0"/>
              <w:right w:val="single" w:color="auto" w:sz="4" w:space="0"/>
            </w:tcBorders>
            <w:noWrap/>
            <w:vAlign w:val="center"/>
          </w:tcPr>
          <w:p w14:paraId="38951F6C">
            <w:pPr>
              <w:rPr>
                <w:rFonts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人民币大写：               （小写：          元 ）</w:t>
            </w:r>
          </w:p>
        </w:tc>
      </w:tr>
    </w:tbl>
    <w:p w14:paraId="3BAFE40A">
      <w:pPr>
        <w:keepNext w:val="0"/>
        <w:keepLines w:val="0"/>
        <w:pageBreakBefore w:val="0"/>
        <w:widowControl w:val="0"/>
        <w:kinsoku/>
        <w:wordWrap/>
        <w:overflowPunct/>
        <w:topLinePunct w:val="0"/>
        <w:autoSpaceDE/>
        <w:autoSpaceDN/>
        <w:bidi w:val="0"/>
        <w:adjustRightInd/>
        <w:snapToGrid/>
        <w:spacing w:line="400" w:lineRule="exact"/>
        <w:ind w:firstLine="210" w:firstLineChars="100"/>
        <w:jc w:val="left"/>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注：1、</w:t>
      </w:r>
      <w:r>
        <w:rPr>
          <w:rFonts w:hint="eastAsia" w:ascii="仿宋" w:hAnsi="仿宋" w:eastAsia="仿宋" w:cs="仿宋"/>
          <w:color w:val="auto"/>
          <w:sz w:val="21"/>
          <w:szCs w:val="21"/>
          <w:highlight w:val="none"/>
          <w:lang w:val="en-US" w:eastAsia="zh-CN"/>
        </w:rPr>
        <w:t>供应商需根据采购标的数量自行添加行数</w:t>
      </w:r>
      <w:r>
        <w:rPr>
          <w:rFonts w:hint="eastAsia" w:ascii="仿宋" w:hAnsi="仿宋" w:eastAsia="仿宋" w:cs="仿宋"/>
          <w:color w:val="auto"/>
          <w:sz w:val="21"/>
          <w:szCs w:val="21"/>
          <w:highlight w:val="none"/>
          <w:lang w:eastAsia="zh-CN"/>
        </w:rPr>
        <w:t>。</w:t>
      </w:r>
    </w:p>
    <w:p w14:paraId="4460EA76">
      <w:pPr>
        <w:keepNext w:val="0"/>
        <w:keepLines w:val="0"/>
        <w:pageBreakBefore w:val="0"/>
        <w:widowControl w:val="0"/>
        <w:kinsoku/>
        <w:wordWrap/>
        <w:overflowPunct/>
        <w:topLinePunct w:val="0"/>
        <w:autoSpaceDE/>
        <w:autoSpaceDN/>
        <w:bidi w:val="0"/>
        <w:adjustRightInd/>
        <w:snapToGrid/>
        <w:spacing w:line="400" w:lineRule="exact"/>
        <w:ind w:firstLine="630" w:firstLineChars="300"/>
        <w:jc w:val="left"/>
        <w:textAlignment w:val="auto"/>
        <w:rPr>
          <w:rFonts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2、</w:t>
      </w:r>
      <w:r>
        <w:rPr>
          <w:rFonts w:hint="eastAsia" w:ascii="仿宋" w:hAnsi="仿宋" w:eastAsia="仿宋" w:cs="仿宋"/>
          <w:b w:val="0"/>
          <w:bCs w:val="0"/>
          <w:color w:val="auto"/>
          <w:sz w:val="21"/>
          <w:szCs w:val="21"/>
          <w:highlight w:val="none"/>
          <w:lang w:val="zh-CN"/>
        </w:rPr>
        <w:t>此表作为</w:t>
      </w:r>
      <w:r>
        <w:rPr>
          <w:rFonts w:hint="eastAsia" w:ascii="仿宋" w:hAnsi="仿宋" w:eastAsia="仿宋" w:cs="仿宋"/>
          <w:b w:val="0"/>
          <w:bCs w:val="0"/>
          <w:color w:val="auto"/>
          <w:sz w:val="21"/>
          <w:szCs w:val="21"/>
          <w:highlight w:val="none"/>
        </w:rPr>
        <w:t>第一轮报价，在响应文件中提供。</w:t>
      </w:r>
    </w:p>
    <w:p w14:paraId="152129F3">
      <w:pPr>
        <w:keepNext w:val="0"/>
        <w:keepLines w:val="0"/>
        <w:pageBreakBefore w:val="0"/>
        <w:widowControl w:val="0"/>
        <w:kinsoku/>
        <w:wordWrap/>
        <w:overflowPunct/>
        <w:topLinePunct w:val="0"/>
        <w:autoSpaceDE/>
        <w:autoSpaceDN/>
        <w:bidi w:val="0"/>
        <w:adjustRightInd/>
        <w:snapToGrid/>
        <w:spacing w:line="400" w:lineRule="exact"/>
        <w:ind w:firstLine="630" w:firstLineChars="300"/>
        <w:jc w:val="left"/>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3、报价应包括完成本项目的一切费用。</w:t>
      </w:r>
    </w:p>
    <w:p w14:paraId="391559A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color w:val="auto"/>
          <w:sz w:val="21"/>
          <w:szCs w:val="21"/>
          <w:highlight w:val="none"/>
        </w:rPr>
      </w:pPr>
    </w:p>
    <w:p w14:paraId="2BEE739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法定代表或授权代表签字：</w:t>
      </w:r>
    </w:p>
    <w:p w14:paraId="6E1C32C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供应商名称</w:t>
      </w:r>
      <w:r>
        <w:rPr>
          <w:rFonts w:hint="eastAsia" w:ascii="仿宋" w:hAnsi="仿宋" w:eastAsia="仿宋" w:cs="仿宋"/>
          <w:color w:val="auto"/>
          <w:szCs w:val="21"/>
          <w:highlight w:val="none"/>
          <w:lang w:eastAsia="zh-CN"/>
        </w:rPr>
        <w:t>（加盖供应商公章）</w:t>
      </w:r>
      <w:r>
        <w:rPr>
          <w:rFonts w:hint="eastAsia" w:ascii="仿宋" w:hAnsi="仿宋" w:eastAsia="仿宋" w:cs="仿宋"/>
          <w:color w:val="auto"/>
          <w:sz w:val="21"/>
          <w:szCs w:val="21"/>
          <w:highlight w:val="none"/>
        </w:rPr>
        <w:t>：</w:t>
      </w:r>
    </w:p>
    <w:p w14:paraId="5422A1C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color w:val="auto"/>
          <w:sz w:val="21"/>
          <w:szCs w:val="21"/>
          <w:highlight w:val="none"/>
        </w:rPr>
      </w:pPr>
      <w:r>
        <w:rPr>
          <w:rFonts w:hint="eastAsia" w:ascii="仿宋" w:hAnsi="仿宋" w:eastAsia="仿宋" w:cs="仿宋"/>
          <w:color w:val="auto"/>
          <w:szCs w:val="21"/>
          <w:highlight w:val="none"/>
        </w:rPr>
        <w:t>日 期：</w:t>
      </w:r>
      <w:r>
        <w:rPr>
          <w:rFonts w:hint="eastAsia" w:ascii="仿宋" w:hAnsi="仿宋" w:eastAsia="仿宋" w:cs="仿宋"/>
          <w:color w:val="auto"/>
          <w:szCs w:val="21"/>
          <w:highlight w:val="none"/>
          <w:u w:val="single"/>
        </w:rPr>
        <w:t>XXXX</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XX</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XX</w:t>
      </w:r>
      <w:r>
        <w:rPr>
          <w:rFonts w:hint="eastAsia" w:ascii="仿宋" w:hAnsi="仿宋" w:eastAsia="仿宋" w:cs="仿宋"/>
          <w:color w:val="auto"/>
          <w:szCs w:val="21"/>
          <w:highlight w:val="none"/>
        </w:rPr>
        <w:t>日</w:t>
      </w:r>
    </w:p>
    <w:p w14:paraId="77E31F28">
      <w:pPr>
        <w:widowControl/>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p>
    <w:p w14:paraId="4D9642A4">
      <w:pPr>
        <w:widowControl/>
        <w:spacing w:line="400" w:lineRule="exact"/>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格式</w:t>
      </w:r>
      <w:r>
        <w:rPr>
          <w:rFonts w:hint="eastAsia" w:ascii="仿宋" w:hAnsi="仿宋" w:eastAsia="仿宋" w:cs="仿宋"/>
          <w:b/>
          <w:color w:val="auto"/>
          <w:szCs w:val="21"/>
          <w:highlight w:val="none"/>
          <w:lang w:val="en-US" w:eastAsia="zh-CN"/>
        </w:rPr>
        <w:t>7</w:t>
      </w:r>
      <w:r>
        <w:rPr>
          <w:rFonts w:hint="eastAsia" w:ascii="仿宋" w:hAnsi="仿宋" w:eastAsia="仿宋" w:cs="仿宋"/>
          <w:b/>
          <w:color w:val="auto"/>
          <w:szCs w:val="21"/>
          <w:highlight w:val="none"/>
        </w:rPr>
        <w:t>：采购项目技术内容条款应答表</w:t>
      </w:r>
    </w:p>
    <w:p w14:paraId="4CC9189B">
      <w:pPr>
        <w:widowControl/>
        <w:spacing w:line="400" w:lineRule="exact"/>
        <w:jc w:val="center"/>
        <w:rPr>
          <w:rFonts w:hint="eastAsia" w:ascii="仿宋" w:hAnsi="仿宋" w:eastAsia="仿宋" w:cs="仿宋"/>
          <w:color w:val="auto"/>
          <w:szCs w:val="21"/>
          <w:highlight w:val="none"/>
        </w:rPr>
      </w:pPr>
    </w:p>
    <w:p w14:paraId="3B0AA5C8">
      <w:pPr>
        <w:widowControl/>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采购项目技术内容条款</w:t>
      </w:r>
      <w:r>
        <w:rPr>
          <w:rFonts w:hint="eastAsia" w:ascii="仿宋" w:hAnsi="仿宋" w:eastAsia="仿宋" w:cs="仿宋"/>
          <w:color w:val="auto"/>
          <w:szCs w:val="21"/>
          <w:highlight w:val="none"/>
          <w:lang w:eastAsia="zh-CN"/>
        </w:rPr>
        <w:t>应答</w:t>
      </w:r>
      <w:r>
        <w:rPr>
          <w:rFonts w:hint="eastAsia" w:ascii="仿宋" w:hAnsi="仿宋" w:eastAsia="仿宋" w:cs="仿宋"/>
          <w:color w:val="auto"/>
          <w:szCs w:val="21"/>
          <w:highlight w:val="none"/>
        </w:rPr>
        <w:t>表</w:t>
      </w:r>
    </w:p>
    <w:p w14:paraId="3AE6E434">
      <w:pPr>
        <w:pStyle w:val="76"/>
        <w:rPr>
          <w:rFonts w:hint="eastAsia"/>
          <w:color w:val="auto"/>
          <w:highlight w:val="none"/>
        </w:rPr>
      </w:pPr>
    </w:p>
    <w:tbl>
      <w:tblPr>
        <w:tblStyle w:val="29"/>
        <w:tblW w:w="9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8"/>
        <w:gridCol w:w="2411"/>
        <w:gridCol w:w="2832"/>
      </w:tblGrid>
      <w:tr w14:paraId="23EE1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8" w:type="dxa"/>
            <w:shd w:val="clear" w:color="auto" w:fill="auto"/>
            <w:vAlign w:val="center"/>
          </w:tcPr>
          <w:p w14:paraId="6264A22F">
            <w:pPr>
              <w:pStyle w:val="60"/>
              <w:spacing w:line="400" w:lineRule="exact"/>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谈判文件要求</w:t>
            </w:r>
          </w:p>
        </w:tc>
        <w:tc>
          <w:tcPr>
            <w:tcW w:w="2411" w:type="dxa"/>
            <w:shd w:val="clear" w:color="auto" w:fill="auto"/>
            <w:vAlign w:val="center"/>
          </w:tcPr>
          <w:p w14:paraId="7F59A343">
            <w:pPr>
              <w:pStyle w:val="60"/>
              <w:spacing w:line="400" w:lineRule="exact"/>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应答内容</w:t>
            </w:r>
          </w:p>
        </w:tc>
        <w:tc>
          <w:tcPr>
            <w:tcW w:w="2832" w:type="dxa"/>
            <w:shd w:val="clear" w:color="auto" w:fill="auto"/>
            <w:vAlign w:val="center"/>
          </w:tcPr>
          <w:p w14:paraId="4AD90731">
            <w:pPr>
              <w:pStyle w:val="60"/>
              <w:spacing w:line="400" w:lineRule="exact"/>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备注</w:t>
            </w:r>
          </w:p>
        </w:tc>
      </w:tr>
      <w:tr w14:paraId="36CEA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8" w:type="dxa"/>
            <w:shd w:val="clear" w:color="auto" w:fill="auto"/>
            <w:vAlign w:val="center"/>
          </w:tcPr>
          <w:p w14:paraId="2555D0E5">
            <w:pPr>
              <w:pStyle w:val="60"/>
              <w:spacing w:line="40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w:t>
            </w:r>
          </w:p>
        </w:tc>
        <w:tc>
          <w:tcPr>
            <w:tcW w:w="2411" w:type="dxa"/>
            <w:shd w:val="clear" w:color="auto" w:fill="auto"/>
            <w:vAlign w:val="center"/>
          </w:tcPr>
          <w:p w14:paraId="3B4ACE89">
            <w:pPr>
              <w:pStyle w:val="60"/>
              <w:spacing w:line="400" w:lineRule="exact"/>
              <w:ind w:firstLine="0" w:firstLineChars="0"/>
              <w:rPr>
                <w:rFonts w:hint="eastAsia" w:ascii="仿宋" w:hAnsi="仿宋" w:eastAsia="仿宋" w:cs="仿宋"/>
                <w:color w:val="auto"/>
                <w:highlight w:val="none"/>
              </w:rPr>
            </w:pPr>
          </w:p>
        </w:tc>
        <w:tc>
          <w:tcPr>
            <w:tcW w:w="2832" w:type="dxa"/>
            <w:shd w:val="clear" w:color="auto" w:fill="auto"/>
            <w:vAlign w:val="center"/>
          </w:tcPr>
          <w:p w14:paraId="2C2DC96B">
            <w:pPr>
              <w:pStyle w:val="60"/>
              <w:spacing w:line="400" w:lineRule="exact"/>
              <w:ind w:firstLine="0" w:firstLineChars="0"/>
              <w:rPr>
                <w:rFonts w:hint="eastAsia" w:ascii="仿宋" w:hAnsi="仿宋" w:eastAsia="仿宋" w:cs="仿宋"/>
                <w:color w:val="auto"/>
                <w:highlight w:val="none"/>
              </w:rPr>
            </w:pPr>
          </w:p>
        </w:tc>
      </w:tr>
    </w:tbl>
    <w:p w14:paraId="68EDE6F4">
      <w:pPr>
        <w:spacing w:line="400" w:lineRule="exact"/>
        <w:ind w:firstLine="420" w:firstLineChars="200"/>
        <w:rPr>
          <w:rFonts w:hint="eastAsia" w:ascii="仿宋" w:hAnsi="仿宋" w:eastAsia="仿宋" w:cs="仿宋"/>
          <w:color w:val="auto"/>
          <w:szCs w:val="21"/>
          <w:highlight w:val="none"/>
        </w:rPr>
      </w:pPr>
    </w:p>
    <w:p w14:paraId="5B203D3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法定代表或授权代表签字：</w:t>
      </w:r>
    </w:p>
    <w:p w14:paraId="00FECDD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供应商名称</w:t>
      </w:r>
      <w:r>
        <w:rPr>
          <w:rFonts w:hint="eastAsia" w:ascii="仿宋" w:hAnsi="仿宋" w:eastAsia="仿宋" w:cs="仿宋"/>
          <w:color w:val="auto"/>
          <w:szCs w:val="21"/>
          <w:highlight w:val="none"/>
          <w:lang w:eastAsia="zh-CN"/>
        </w:rPr>
        <w:t>（加盖供应商公章）</w:t>
      </w:r>
      <w:r>
        <w:rPr>
          <w:rFonts w:hint="eastAsia" w:ascii="仿宋" w:hAnsi="仿宋" w:eastAsia="仿宋" w:cs="仿宋"/>
          <w:color w:val="auto"/>
          <w:sz w:val="21"/>
          <w:szCs w:val="21"/>
          <w:highlight w:val="none"/>
        </w:rPr>
        <w:t>：</w:t>
      </w:r>
    </w:p>
    <w:p w14:paraId="2B66131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color w:val="auto"/>
          <w:sz w:val="21"/>
          <w:szCs w:val="21"/>
          <w:highlight w:val="none"/>
        </w:rPr>
      </w:pPr>
      <w:r>
        <w:rPr>
          <w:rFonts w:hint="eastAsia" w:ascii="仿宋" w:hAnsi="仿宋" w:eastAsia="仿宋" w:cs="仿宋"/>
          <w:color w:val="auto"/>
          <w:szCs w:val="21"/>
          <w:highlight w:val="none"/>
        </w:rPr>
        <w:t>日 期：</w:t>
      </w:r>
      <w:r>
        <w:rPr>
          <w:rFonts w:hint="eastAsia" w:ascii="仿宋" w:hAnsi="仿宋" w:eastAsia="仿宋" w:cs="仿宋"/>
          <w:color w:val="auto"/>
          <w:szCs w:val="21"/>
          <w:highlight w:val="none"/>
          <w:u w:val="single"/>
        </w:rPr>
        <w:t>XXXX</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XX</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XX</w:t>
      </w:r>
      <w:r>
        <w:rPr>
          <w:rFonts w:hint="eastAsia" w:ascii="仿宋" w:hAnsi="仿宋" w:eastAsia="仿宋" w:cs="仿宋"/>
          <w:color w:val="auto"/>
          <w:szCs w:val="21"/>
          <w:highlight w:val="none"/>
        </w:rPr>
        <w:t>日</w:t>
      </w:r>
    </w:p>
    <w:p w14:paraId="27CCAE3E">
      <w:pPr>
        <w:spacing w:line="400" w:lineRule="exact"/>
        <w:ind w:firstLine="420" w:firstLineChars="200"/>
        <w:rPr>
          <w:rFonts w:hint="eastAsia" w:ascii="仿宋" w:hAnsi="仿宋" w:eastAsia="仿宋" w:cs="仿宋"/>
          <w:color w:val="auto"/>
          <w:szCs w:val="21"/>
          <w:highlight w:val="none"/>
        </w:rPr>
      </w:pPr>
    </w:p>
    <w:p w14:paraId="3AC5F160">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说明：供应商必须根据谈判文件第五章要求据实逐条填写，不得虚假陈述。</w:t>
      </w:r>
    </w:p>
    <w:p w14:paraId="13DF53B6">
      <w:pPr>
        <w:widowControl/>
        <w:spacing w:line="400" w:lineRule="exact"/>
        <w:jc w:val="left"/>
        <w:rPr>
          <w:rFonts w:hint="eastAsia" w:ascii="仿宋" w:hAnsi="仿宋" w:eastAsia="仿宋" w:cs="仿宋"/>
          <w:color w:val="auto"/>
          <w:szCs w:val="21"/>
          <w:highlight w:val="none"/>
        </w:rPr>
      </w:pPr>
    </w:p>
    <w:p w14:paraId="4ADFAB80">
      <w:pPr>
        <w:widowControl/>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p>
    <w:p w14:paraId="7D6C9BB0">
      <w:pPr>
        <w:widowControl/>
        <w:spacing w:line="400" w:lineRule="exact"/>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格式</w:t>
      </w:r>
      <w:r>
        <w:rPr>
          <w:rFonts w:hint="eastAsia" w:ascii="仿宋" w:hAnsi="仿宋" w:eastAsia="仿宋" w:cs="仿宋"/>
          <w:b/>
          <w:color w:val="auto"/>
          <w:szCs w:val="21"/>
          <w:highlight w:val="none"/>
          <w:lang w:val="en-US" w:eastAsia="zh-CN"/>
        </w:rPr>
        <w:t>8</w:t>
      </w:r>
      <w:r>
        <w:rPr>
          <w:rFonts w:hint="eastAsia" w:ascii="仿宋" w:hAnsi="仿宋" w:eastAsia="仿宋" w:cs="仿宋"/>
          <w:b/>
          <w:color w:val="auto"/>
          <w:szCs w:val="21"/>
          <w:highlight w:val="none"/>
        </w:rPr>
        <w:t>：采购项目</w:t>
      </w:r>
      <w:r>
        <w:rPr>
          <w:rFonts w:hint="eastAsia" w:ascii="仿宋" w:hAnsi="仿宋" w:eastAsia="仿宋" w:cs="仿宋"/>
          <w:b/>
          <w:color w:val="auto"/>
          <w:szCs w:val="21"/>
          <w:highlight w:val="none"/>
          <w:lang w:eastAsia="zh-CN"/>
        </w:rPr>
        <w:t>商务要求</w:t>
      </w:r>
      <w:r>
        <w:rPr>
          <w:rFonts w:hint="eastAsia" w:ascii="仿宋" w:hAnsi="仿宋" w:eastAsia="仿宋" w:cs="仿宋"/>
          <w:b/>
          <w:color w:val="auto"/>
          <w:szCs w:val="21"/>
          <w:highlight w:val="none"/>
        </w:rPr>
        <w:t>应答表</w:t>
      </w:r>
    </w:p>
    <w:p w14:paraId="75D9A6D4">
      <w:pPr>
        <w:widowControl/>
        <w:spacing w:line="400" w:lineRule="exact"/>
        <w:jc w:val="center"/>
        <w:rPr>
          <w:rFonts w:hint="eastAsia" w:ascii="仿宋" w:hAnsi="仿宋" w:eastAsia="仿宋" w:cs="仿宋"/>
          <w:color w:val="auto"/>
          <w:szCs w:val="21"/>
          <w:highlight w:val="none"/>
        </w:rPr>
      </w:pPr>
    </w:p>
    <w:p w14:paraId="1A971814">
      <w:pPr>
        <w:widowControl/>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采购项目</w:t>
      </w:r>
      <w:r>
        <w:rPr>
          <w:rFonts w:hint="eastAsia" w:ascii="仿宋" w:hAnsi="仿宋" w:eastAsia="仿宋" w:cs="仿宋"/>
          <w:color w:val="auto"/>
          <w:szCs w:val="21"/>
          <w:highlight w:val="none"/>
          <w:lang w:eastAsia="zh-CN"/>
        </w:rPr>
        <w:t>商务要求应答</w:t>
      </w:r>
      <w:r>
        <w:rPr>
          <w:rFonts w:hint="eastAsia" w:ascii="仿宋" w:hAnsi="仿宋" w:eastAsia="仿宋" w:cs="仿宋"/>
          <w:color w:val="auto"/>
          <w:szCs w:val="21"/>
          <w:highlight w:val="none"/>
        </w:rPr>
        <w:t>表</w:t>
      </w:r>
    </w:p>
    <w:p w14:paraId="135BE92A">
      <w:pPr>
        <w:pStyle w:val="76"/>
        <w:ind w:left="0" w:leftChars="0" w:firstLine="0" w:firstLineChars="0"/>
        <w:jc w:val="center"/>
        <w:rPr>
          <w:rFonts w:hint="eastAsia"/>
          <w:color w:val="auto"/>
          <w:highlight w:val="none"/>
        </w:rPr>
      </w:pPr>
    </w:p>
    <w:tbl>
      <w:tblPr>
        <w:tblStyle w:val="29"/>
        <w:tblW w:w="9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8"/>
        <w:gridCol w:w="2411"/>
        <w:gridCol w:w="2832"/>
      </w:tblGrid>
      <w:tr w14:paraId="748C3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8" w:type="dxa"/>
            <w:shd w:val="clear" w:color="auto" w:fill="auto"/>
            <w:vAlign w:val="center"/>
          </w:tcPr>
          <w:p w14:paraId="586B6D5F">
            <w:pPr>
              <w:pStyle w:val="60"/>
              <w:spacing w:line="400" w:lineRule="exact"/>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谈判文件要求</w:t>
            </w:r>
          </w:p>
        </w:tc>
        <w:tc>
          <w:tcPr>
            <w:tcW w:w="2411" w:type="dxa"/>
            <w:shd w:val="clear" w:color="auto" w:fill="auto"/>
            <w:vAlign w:val="center"/>
          </w:tcPr>
          <w:p w14:paraId="65F7F149">
            <w:pPr>
              <w:pStyle w:val="60"/>
              <w:spacing w:line="400" w:lineRule="exact"/>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应答内容</w:t>
            </w:r>
          </w:p>
        </w:tc>
        <w:tc>
          <w:tcPr>
            <w:tcW w:w="2832" w:type="dxa"/>
            <w:shd w:val="clear" w:color="auto" w:fill="auto"/>
            <w:vAlign w:val="center"/>
          </w:tcPr>
          <w:p w14:paraId="7A66D32E">
            <w:pPr>
              <w:pStyle w:val="60"/>
              <w:spacing w:line="400" w:lineRule="exact"/>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备注</w:t>
            </w:r>
          </w:p>
        </w:tc>
      </w:tr>
      <w:tr w14:paraId="7FC39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8" w:type="dxa"/>
            <w:shd w:val="clear" w:color="auto" w:fill="auto"/>
            <w:vAlign w:val="center"/>
          </w:tcPr>
          <w:p w14:paraId="0FF7B386">
            <w:pPr>
              <w:pStyle w:val="60"/>
              <w:spacing w:line="40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w:t>
            </w:r>
          </w:p>
        </w:tc>
        <w:tc>
          <w:tcPr>
            <w:tcW w:w="2411" w:type="dxa"/>
            <w:shd w:val="clear" w:color="auto" w:fill="auto"/>
            <w:vAlign w:val="center"/>
          </w:tcPr>
          <w:p w14:paraId="0A6D62B7">
            <w:pPr>
              <w:pStyle w:val="60"/>
              <w:spacing w:line="400" w:lineRule="exact"/>
              <w:ind w:firstLine="0" w:firstLineChars="0"/>
              <w:rPr>
                <w:rFonts w:hint="eastAsia" w:ascii="仿宋" w:hAnsi="仿宋" w:eastAsia="仿宋" w:cs="仿宋"/>
                <w:color w:val="auto"/>
                <w:highlight w:val="none"/>
              </w:rPr>
            </w:pPr>
          </w:p>
        </w:tc>
        <w:tc>
          <w:tcPr>
            <w:tcW w:w="2832" w:type="dxa"/>
            <w:shd w:val="clear" w:color="auto" w:fill="auto"/>
            <w:vAlign w:val="center"/>
          </w:tcPr>
          <w:p w14:paraId="4D660F1D">
            <w:pPr>
              <w:pStyle w:val="60"/>
              <w:spacing w:line="400" w:lineRule="exact"/>
              <w:ind w:firstLine="0" w:firstLineChars="0"/>
              <w:rPr>
                <w:rFonts w:hint="eastAsia" w:ascii="仿宋" w:hAnsi="仿宋" w:eastAsia="仿宋" w:cs="仿宋"/>
                <w:color w:val="auto"/>
                <w:highlight w:val="none"/>
              </w:rPr>
            </w:pPr>
          </w:p>
        </w:tc>
      </w:tr>
    </w:tbl>
    <w:p w14:paraId="25641124">
      <w:pPr>
        <w:spacing w:line="400" w:lineRule="exact"/>
        <w:ind w:firstLine="420" w:firstLineChars="200"/>
        <w:rPr>
          <w:rFonts w:hint="eastAsia" w:ascii="仿宋" w:hAnsi="仿宋" w:eastAsia="仿宋" w:cs="仿宋"/>
          <w:color w:val="auto"/>
          <w:szCs w:val="21"/>
          <w:highlight w:val="none"/>
        </w:rPr>
      </w:pPr>
    </w:p>
    <w:p w14:paraId="2051070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法定代表或授权代表签字：</w:t>
      </w:r>
    </w:p>
    <w:p w14:paraId="24533CF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供应商名称</w:t>
      </w:r>
      <w:r>
        <w:rPr>
          <w:rFonts w:hint="eastAsia" w:ascii="仿宋" w:hAnsi="仿宋" w:eastAsia="仿宋" w:cs="仿宋"/>
          <w:color w:val="auto"/>
          <w:szCs w:val="21"/>
          <w:highlight w:val="none"/>
          <w:lang w:eastAsia="zh-CN"/>
        </w:rPr>
        <w:t>（加盖供应商公章）</w:t>
      </w:r>
      <w:r>
        <w:rPr>
          <w:rFonts w:hint="eastAsia" w:ascii="仿宋" w:hAnsi="仿宋" w:eastAsia="仿宋" w:cs="仿宋"/>
          <w:color w:val="auto"/>
          <w:sz w:val="21"/>
          <w:szCs w:val="21"/>
          <w:highlight w:val="none"/>
        </w:rPr>
        <w:t>：</w:t>
      </w:r>
    </w:p>
    <w:p w14:paraId="1838877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color w:val="auto"/>
          <w:sz w:val="21"/>
          <w:szCs w:val="21"/>
          <w:highlight w:val="none"/>
        </w:rPr>
      </w:pPr>
      <w:r>
        <w:rPr>
          <w:rFonts w:hint="eastAsia" w:ascii="仿宋" w:hAnsi="仿宋" w:eastAsia="仿宋" w:cs="仿宋"/>
          <w:color w:val="auto"/>
          <w:szCs w:val="21"/>
          <w:highlight w:val="none"/>
        </w:rPr>
        <w:t>日 期：</w:t>
      </w:r>
      <w:r>
        <w:rPr>
          <w:rFonts w:hint="eastAsia" w:ascii="仿宋" w:hAnsi="仿宋" w:eastAsia="仿宋" w:cs="仿宋"/>
          <w:color w:val="auto"/>
          <w:szCs w:val="21"/>
          <w:highlight w:val="none"/>
          <w:u w:val="single"/>
        </w:rPr>
        <w:t>XXXX</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XX</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XX</w:t>
      </w:r>
      <w:r>
        <w:rPr>
          <w:rFonts w:hint="eastAsia" w:ascii="仿宋" w:hAnsi="仿宋" w:eastAsia="仿宋" w:cs="仿宋"/>
          <w:color w:val="auto"/>
          <w:szCs w:val="21"/>
          <w:highlight w:val="none"/>
        </w:rPr>
        <w:t>日</w:t>
      </w:r>
    </w:p>
    <w:p w14:paraId="10A3B7BA">
      <w:pPr>
        <w:spacing w:line="400" w:lineRule="exact"/>
        <w:ind w:firstLine="420" w:firstLineChars="200"/>
        <w:rPr>
          <w:rFonts w:hint="eastAsia" w:ascii="仿宋" w:hAnsi="仿宋" w:eastAsia="仿宋" w:cs="仿宋"/>
          <w:color w:val="auto"/>
          <w:szCs w:val="21"/>
          <w:highlight w:val="none"/>
        </w:rPr>
      </w:pPr>
    </w:p>
    <w:p w14:paraId="435B9DAA">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说明：供应商必须根据谈判文件第五章要求据实逐条填写，不得虚假陈述。</w:t>
      </w:r>
    </w:p>
    <w:p w14:paraId="68683609">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br w:type="page"/>
      </w:r>
    </w:p>
    <w:p w14:paraId="7AA09533">
      <w:pPr>
        <w:widowControl/>
        <w:spacing w:line="400" w:lineRule="exact"/>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格式</w:t>
      </w:r>
      <w:r>
        <w:rPr>
          <w:rFonts w:hint="eastAsia" w:ascii="仿宋" w:hAnsi="仿宋" w:eastAsia="仿宋" w:cs="仿宋"/>
          <w:b/>
          <w:color w:val="auto"/>
          <w:szCs w:val="21"/>
          <w:highlight w:val="none"/>
          <w:lang w:val="en-US" w:eastAsia="zh-CN"/>
        </w:rPr>
        <w:t>9</w:t>
      </w:r>
      <w:r>
        <w:rPr>
          <w:rFonts w:hint="eastAsia" w:ascii="仿宋" w:hAnsi="仿宋" w:eastAsia="仿宋" w:cs="仿宋"/>
          <w:b/>
          <w:color w:val="auto"/>
          <w:szCs w:val="21"/>
          <w:highlight w:val="none"/>
        </w:rPr>
        <w:t>：供应商类似项目业绩一览表</w:t>
      </w:r>
    </w:p>
    <w:p w14:paraId="0E237DC4">
      <w:pPr>
        <w:widowControl/>
        <w:spacing w:line="400" w:lineRule="exact"/>
        <w:jc w:val="center"/>
        <w:rPr>
          <w:rFonts w:hint="eastAsia" w:ascii="仿宋" w:hAnsi="仿宋" w:eastAsia="仿宋" w:cs="仿宋"/>
          <w:color w:val="auto"/>
          <w:szCs w:val="21"/>
          <w:highlight w:val="none"/>
        </w:rPr>
      </w:pPr>
    </w:p>
    <w:p w14:paraId="622B19B2">
      <w:pPr>
        <w:widowControl/>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供应商类似项目业绩一览表</w:t>
      </w:r>
    </w:p>
    <w:p w14:paraId="7A858D3D">
      <w:pPr>
        <w:pStyle w:val="76"/>
        <w:ind w:left="0" w:leftChars="0" w:firstLine="0" w:firstLineChars="0"/>
        <w:jc w:val="center"/>
        <w:rPr>
          <w:rFonts w:hint="eastAsia"/>
          <w:color w:val="auto"/>
          <w:highlight w:val="none"/>
        </w:rPr>
      </w:pP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889"/>
        <w:gridCol w:w="1486"/>
        <w:gridCol w:w="2226"/>
        <w:gridCol w:w="1528"/>
        <w:gridCol w:w="1835"/>
        <w:gridCol w:w="1223"/>
      </w:tblGrid>
      <w:tr w14:paraId="42B0E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pct"/>
            <w:shd w:val="clear" w:color="auto" w:fill="auto"/>
          </w:tcPr>
          <w:p w14:paraId="5DAA9B80">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446" w:type="pct"/>
            <w:shd w:val="clear" w:color="auto" w:fill="auto"/>
          </w:tcPr>
          <w:p w14:paraId="434A89E3">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采购人</w:t>
            </w:r>
          </w:p>
        </w:tc>
        <w:tc>
          <w:tcPr>
            <w:tcW w:w="746" w:type="pct"/>
            <w:shd w:val="clear" w:color="auto" w:fill="auto"/>
          </w:tcPr>
          <w:p w14:paraId="7F184802">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项目名称</w:t>
            </w:r>
          </w:p>
        </w:tc>
        <w:tc>
          <w:tcPr>
            <w:tcW w:w="1117" w:type="pct"/>
            <w:shd w:val="clear" w:color="auto" w:fill="auto"/>
          </w:tcPr>
          <w:p w14:paraId="087A6B3B">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合同主要标的</w:t>
            </w:r>
          </w:p>
        </w:tc>
        <w:tc>
          <w:tcPr>
            <w:tcW w:w="767" w:type="pct"/>
            <w:shd w:val="clear" w:color="auto" w:fill="auto"/>
          </w:tcPr>
          <w:p w14:paraId="7A8CD8DF">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验收时间</w:t>
            </w:r>
          </w:p>
        </w:tc>
        <w:tc>
          <w:tcPr>
            <w:tcW w:w="921" w:type="pct"/>
            <w:shd w:val="clear" w:color="auto" w:fill="auto"/>
          </w:tcPr>
          <w:p w14:paraId="716E3F7D">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合同金额</w:t>
            </w:r>
          </w:p>
        </w:tc>
        <w:tc>
          <w:tcPr>
            <w:tcW w:w="614" w:type="pct"/>
            <w:shd w:val="clear" w:color="auto" w:fill="auto"/>
          </w:tcPr>
          <w:p w14:paraId="24B38B98">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tc>
      </w:tr>
      <w:tr w14:paraId="19F11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pct"/>
            <w:shd w:val="clear" w:color="auto" w:fill="auto"/>
          </w:tcPr>
          <w:p w14:paraId="10217394">
            <w:pPr>
              <w:spacing w:line="400" w:lineRule="exact"/>
              <w:rPr>
                <w:rFonts w:hint="eastAsia" w:ascii="仿宋" w:hAnsi="仿宋" w:eastAsia="仿宋" w:cs="仿宋"/>
                <w:color w:val="auto"/>
                <w:szCs w:val="21"/>
                <w:highlight w:val="none"/>
              </w:rPr>
            </w:pPr>
          </w:p>
        </w:tc>
        <w:tc>
          <w:tcPr>
            <w:tcW w:w="446" w:type="pct"/>
            <w:shd w:val="clear" w:color="auto" w:fill="auto"/>
          </w:tcPr>
          <w:p w14:paraId="34BB7CE0">
            <w:pPr>
              <w:spacing w:line="400" w:lineRule="exact"/>
              <w:rPr>
                <w:rFonts w:hint="eastAsia" w:ascii="仿宋" w:hAnsi="仿宋" w:eastAsia="仿宋" w:cs="仿宋"/>
                <w:color w:val="auto"/>
                <w:szCs w:val="21"/>
                <w:highlight w:val="none"/>
              </w:rPr>
            </w:pPr>
          </w:p>
        </w:tc>
        <w:tc>
          <w:tcPr>
            <w:tcW w:w="746" w:type="pct"/>
            <w:shd w:val="clear" w:color="auto" w:fill="auto"/>
          </w:tcPr>
          <w:p w14:paraId="229FE878">
            <w:pPr>
              <w:spacing w:line="400" w:lineRule="exact"/>
              <w:rPr>
                <w:rFonts w:hint="eastAsia" w:ascii="仿宋" w:hAnsi="仿宋" w:eastAsia="仿宋" w:cs="仿宋"/>
                <w:color w:val="auto"/>
                <w:szCs w:val="21"/>
                <w:highlight w:val="none"/>
              </w:rPr>
            </w:pPr>
          </w:p>
        </w:tc>
        <w:tc>
          <w:tcPr>
            <w:tcW w:w="1117" w:type="pct"/>
            <w:shd w:val="clear" w:color="auto" w:fill="auto"/>
          </w:tcPr>
          <w:p w14:paraId="5BBC5188">
            <w:pPr>
              <w:spacing w:line="400" w:lineRule="exact"/>
              <w:rPr>
                <w:rFonts w:hint="eastAsia" w:ascii="仿宋" w:hAnsi="仿宋" w:eastAsia="仿宋" w:cs="仿宋"/>
                <w:color w:val="auto"/>
                <w:szCs w:val="21"/>
                <w:highlight w:val="none"/>
              </w:rPr>
            </w:pPr>
          </w:p>
        </w:tc>
        <w:tc>
          <w:tcPr>
            <w:tcW w:w="767" w:type="pct"/>
            <w:shd w:val="clear" w:color="auto" w:fill="auto"/>
          </w:tcPr>
          <w:p w14:paraId="16292983">
            <w:pPr>
              <w:spacing w:line="400" w:lineRule="exact"/>
              <w:rPr>
                <w:rFonts w:hint="eastAsia" w:ascii="仿宋" w:hAnsi="仿宋" w:eastAsia="仿宋" w:cs="仿宋"/>
                <w:color w:val="auto"/>
                <w:szCs w:val="21"/>
                <w:highlight w:val="none"/>
              </w:rPr>
            </w:pPr>
          </w:p>
        </w:tc>
        <w:tc>
          <w:tcPr>
            <w:tcW w:w="921" w:type="pct"/>
            <w:shd w:val="clear" w:color="auto" w:fill="auto"/>
          </w:tcPr>
          <w:p w14:paraId="3016E711">
            <w:pPr>
              <w:spacing w:line="400" w:lineRule="exact"/>
              <w:rPr>
                <w:rFonts w:hint="eastAsia" w:ascii="仿宋" w:hAnsi="仿宋" w:eastAsia="仿宋" w:cs="仿宋"/>
                <w:color w:val="auto"/>
                <w:szCs w:val="21"/>
                <w:highlight w:val="none"/>
              </w:rPr>
            </w:pPr>
          </w:p>
        </w:tc>
        <w:tc>
          <w:tcPr>
            <w:tcW w:w="614" w:type="pct"/>
            <w:shd w:val="clear" w:color="auto" w:fill="auto"/>
          </w:tcPr>
          <w:p w14:paraId="78848D44">
            <w:pPr>
              <w:spacing w:line="400" w:lineRule="exact"/>
              <w:rPr>
                <w:rFonts w:hint="eastAsia" w:ascii="仿宋" w:hAnsi="仿宋" w:eastAsia="仿宋" w:cs="仿宋"/>
                <w:color w:val="auto"/>
                <w:szCs w:val="21"/>
                <w:highlight w:val="none"/>
              </w:rPr>
            </w:pPr>
          </w:p>
        </w:tc>
      </w:tr>
    </w:tbl>
    <w:p w14:paraId="3FC7952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 w:val="21"/>
          <w:szCs w:val="21"/>
          <w:highlight w:val="none"/>
        </w:rPr>
      </w:pPr>
    </w:p>
    <w:p w14:paraId="2FF7716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法定代表或授权代表签字：</w:t>
      </w:r>
    </w:p>
    <w:p w14:paraId="2349845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供应商名称</w:t>
      </w:r>
      <w:r>
        <w:rPr>
          <w:rFonts w:hint="eastAsia" w:ascii="仿宋" w:hAnsi="仿宋" w:eastAsia="仿宋" w:cs="仿宋"/>
          <w:color w:val="auto"/>
          <w:szCs w:val="21"/>
          <w:highlight w:val="none"/>
          <w:lang w:eastAsia="zh-CN"/>
        </w:rPr>
        <w:t>（加盖供应商公章）</w:t>
      </w:r>
      <w:r>
        <w:rPr>
          <w:rFonts w:hint="eastAsia" w:ascii="仿宋" w:hAnsi="仿宋" w:eastAsia="仿宋" w:cs="仿宋"/>
          <w:color w:val="auto"/>
          <w:sz w:val="21"/>
          <w:szCs w:val="21"/>
          <w:highlight w:val="none"/>
        </w:rPr>
        <w:t>：</w:t>
      </w:r>
    </w:p>
    <w:p w14:paraId="7B0379D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color w:val="auto"/>
          <w:sz w:val="21"/>
          <w:szCs w:val="21"/>
          <w:highlight w:val="none"/>
        </w:rPr>
      </w:pPr>
      <w:r>
        <w:rPr>
          <w:rFonts w:hint="eastAsia" w:ascii="仿宋" w:hAnsi="仿宋" w:eastAsia="仿宋" w:cs="仿宋"/>
          <w:color w:val="auto"/>
          <w:szCs w:val="21"/>
          <w:highlight w:val="none"/>
        </w:rPr>
        <w:t>日 期：</w:t>
      </w:r>
      <w:r>
        <w:rPr>
          <w:rFonts w:hint="eastAsia" w:ascii="仿宋" w:hAnsi="仿宋" w:eastAsia="仿宋" w:cs="仿宋"/>
          <w:color w:val="auto"/>
          <w:szCs w:val="21"/>
          <w:highlight w:val="none"/>
          <w:u w:val="single"/>
        </w:rPr>
        <w:t>XXXX</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XX</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XX</w:t>
      </w:r>
      <w:r>
        <w:rPr>
          <w:rFonts w:hint="eastAsia" w:ascii="仿宋" w:hAnsi="仿宋" w:eastAsia="仿宋" w:cs="仿宋"/>
          <w:color w:val="auto"/>
          <w:szCs w:val="21"/>
          <w:highlight w:val="none"/>
        </w:rPr>
        <w:t>日</w:t>
      </w:r>
    </w:p>
    <w:p w14:paraId="7EDED5E1">
      <w:pPr>
        <w:widowControl/>
        <w:spacing w:line="400" w:lineRule="exact"/>
        <w:jc w:val="left"/>
        <w:rPr>
          <w:rFonts w:hint="eastAsia" w:ascii="仿宋" w:hAnsi="仿宋" w:eastAsia="仿宋" w:cs="仿宋"/>
          <w:color w:val="auto"/>
          <w:szCs w:val="21"/>
          <w:highlight w:val="none"/>
        </w:rPr>
      </w:pPr>
    </w:p>
    <w:p w14:paraId="0CF199B0">
      <w:pPr>
        <w:widowControl/>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br w:type="page"/>
      </w:r>
    </w:p>
    <w:p w14:paraId="0C2A416D">
      <w:pPr>
        <w:widowControl/>
        <w:spacing w:line="400" w:lineRule="exact"/>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格式1</w:t>
      </w:r>
      <w:r>
        <w:rPr>
          <w:rFonts w:hint="eastAsia" w:ascii="仿宋" w:hAnsi="仿宋" w:eastAsia="仿宋" w:cs="仿宋"/>
          <w:b/>
          <w:color w:val="auto"/>
          <w:szCs w:val="21"/>
          <w:highlight w:val="none"/>
          <w:lang w:val="en-US" w:eastAsia="zh-CN"/>
        </w:rPr>
        <w:t>0</w:t>
      </w:r>
      <w:r>
        <w:rPr>
          <w:rFonts w:hint="eastAsia" w:ascii="仿宋" w:hAnsi="仿宋" w:eastAsia="仿宋" w:cs="仿宋"/>
          <w:b/>
          <w:color w:val="auto"/>
          <w:szCs w:val="21"/>
          <w:highlight w:val="none"/>
        </w:rPr>
        <w:t>：供应商拟派本项目人员情况表</w:t>
      </w:r>
    </w:p>
    <w:p w14:paraId="0B897E82">
      <w:pPr>
        <w:widowControl/>
        <w:spacing w:line="400" w:lineRule="exact"/>
        <w:jc w:val="center"/>
        <w:rPr>
          <w:rFonts w:hint="eastAsia" w:ascii="仿宋" w:hAnsi="仿宋" w:eastAsia="仿宋" w:cs="仿宋"/>
          <w:color w:val="auto"/>
          <w:szCs w:val="21"/>
          <w:highlight w:val="none"/>
        </w:rPr>
      </w:pPr>
    </w:p>
    <w:p w14:paraId="376E6ECD">
      <w:pPr>
        <w:widowControl/>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供应商拟派本项目人员情况表</w:t>
      </w:r>
    </w:p>
    <w:p w14:paraId="2208EEBD">
      <w:pPr>
        <w:pStyle w:val="76"/>
        <w:ind w:left="0" w:leftChars="0" w:firstLine="0" w:firstLineChars="0"/>
        <w:jc w:val="center"/>
        <w:rPr>
          <w:rFonts w:hint="eastAsia"/>
          <w:color w:val="auto"/>
          <w:highlight w:val="none"/>
        </w:rPr>
      </w:pPr>
    </w:p>
    <w:tbl>
      <w:tblPr>
        <w:tblStyle w:val="29"/>
        <w:tblW w:w="5000" w:type="pct"/>
        <w:jc w:val="center"/>
        <w:tblLayout w:type="autofit"/>
        <w:tblCellMar>
          <w:top w:w="0" w:type="dxa"/>
          <w:left w:w="0" w:type="dxa"/>
          <w:bottom w:w="0" w:type="dxa"/>
          <w:right w:w="0" w:type="dxa"/>
        </w:tblCellMar>
      </w:tblPr>
      <w:tblGrid>
        <w:gridCol w:w="894"/>
        <w:gridCol w:w="1766"/>
        <w:gridCol w:w="1483"/>
        <w:gridCol w:w="1329"/>
        <w:gridCol w:w="1356"/>
        <w:gridCol w:w="1180"/>
        <w:gridCol w:w="1748"/>
      </w:tblGrid>
      <w:tr w14:paraId="12168F71">
        <w:tblPrEx>
          <w:tblCellMar>
            <w:top w:w="0" w:type="dxa"/>
            <w:left w:w="0" w:type="dxa"/>
            <w:bottom w:w="0" w:type="dxa"/>
            <w:right w:w="0" w:type="dxa"/>
          </w:tblCellMar>
        </w:tblPrEx>
        <w:trPr>
          <w:trHeight w:val="70" w:hRule="atLeast"/>
          <w:jc w:val="center"/>
        </w:trPr>
        <w:tc>
          <w:tcPr>
            <w:tcW w:w="458" w:type="pct"/>
            <w:vMerge w:val="restart"/>
            <w:tcBorders>
              <w:top w:val="single" w:color="auto" w:sz="4" w:space="0"/>
              <w:left w:val="single" w:color="auto" w:sz="4" w:space="0"/>
              <w:right w:val="single" w:color="auto" w:sz="4" w:space="0"/>
            </w:tcBorders>
            <w:vAlign w:val="center"/>
          </w:tcPr>
          <w:p w14:paraId="74CC9A91">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905" w:type="pct"/>
            <w:vMerge w:val="restart"/>
            <w:tcBorders>
              <w:top w:val="single" w:color="auto" w:sz="4" w:space="0"/>
              <w:left w:val="nil"/>
              <w:right w:val="single" w:color="auto" w:sz="4" w:space="0"/>
            </w:tcBorders>
            <w:vAlign w:val="center"/>
          </w:tcPr>
          <w:p w14:paraId="4C2A73C5">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职务</w:t>
            </w:r>
          </w:p>
        </w:tc>
        <w:tc>
          <w:tcPr>
            <w:tcW w:w="760" w:type="pct"/>
            <w:vMerge w:val="restart"/>
            <w:tcBorders>
              <w:top w:val="single" w:color="auto" w:sz="4" w:space="0"/>
              <w:left w:val="nil"/>
              <w:right w:val="single" w:color="auto" w:sz="4" w:space="0"/>
            </w:tcBorders>
            <w:vAlign w:val="center"/>
          </w:tcPr>
          <w:p w14:paraId="4EE1A171">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姓名</w:t>
            </w:r>
          </w:p>
        </w:tc>
        <w:tc>
          <w:tcPr>
            <w:tcW w:w="1376" w:type="pct"/>
            <w:gridSpan w:val="2"/>
            <w:tcBorders>
              <w:top w:val="single" w:color="auto" w:sz="4" w:space="0"/>
              <w:left w:val="nil"/>
              <w:bottom w:val="single" w:color="auto" w:sz="4" w:space="0"/>
              <w:right w:val="single" w:color="auto" w:sz="4" w:space="0"/>
            </w:tcBorders>
            <w:vAlign w:val="center"/>
          </w:tcPr>
          <w:p w14:paraId="2CB9528F">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执业或职业资格</w:t>
            </w:r>
          </w:p>
        </w:tc>
        <w:tc>
          <w:tcPr>
            <w:tcW w:w="1501" w:type="pct"/>
            <w:gridSpan w:val="2"/>
            <w:tcBorders>
              <w:top w:val="single" w:color="auto" w:sz="4" w:space="0"/>
              <w:left w:val="nil"/>
              <w:bottom w:val="single" w:color="auto" w:sz="4" w:space="0"/>
              <w:right w:val="single" w:color="auto" w:sz="4" w:space="0"/>
            </w:tcBorders>
            <w:vAlign w:val="center"/>
          </w:tcPr>
          <w:p w14:paraId="6AB8EA50">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职称</w:t>
            </w:r>
          </w:p>
        </w:tc>
      </w:tr>
      <w:tr w14:paraId="22C8676C">
        <w:tblPrEx>
          <w:tblCellMar>
            <w:top w:w="0" w:type="dxa"/>
            <w:left w:w="0" w:type="dxa"/>
            <w:bottom w:w="0" w:type="dxa"/>
            <w:right w:w="0" w:type="dxa"/>
          </w:tblCellMar>
        </w:tblPrEx>
        <w:trPr>
          <w:trHeight w:val="70" w:hRule="atLeast"/>
          <w:jc w:val="center"/>
        </w:trPr>
        <w:tc>
          <w:tcPr>
            <w:tcW w:w="458" w:type="pct"/>
            <w:vMerge w:val="continue"/>
            <w:tcBorders>
              <w:left w:val="single" w:color="auto" w:sz="4" w:space="0"/>
              <w:bottom w:val="single" w:color="auto" w:sz="4" w:space="0"/>
              <w:right w:val="single" w:color="auto" w:sz="4" w:space="0"/>
            </w:tcBorders>
            <w:vAlign w:val="center"/>
          </w:tcPr>
          <w:p w14:paraId="52E5CEC2">
            <w:pPr>
              <w:spacing w:line="400" w:lineRule="exact"/>
              <w:jc w:val="center"/>
              <w:rPr>
                <w:rFonts w:hint="eastAsia" w:ascii="仿宋" w:hAnsi="仿宋" w:eastAsia="仿宋" w:cs="仿宋"/>
                <w:color w:val="auto"/>
                <w:szCs w:val="21"/>
                <w:highlight w:val="none"/>
              </w:rPr>
            </w:pPr>
          </w:p>
        </w:tc>
        <w:tc>
          <w:tcPr>
            <w:tcW w:w="905" w:type="pct"/>
            <w:vMerge w:val="continue"/>
            <w:tcBorders>
              <w:left w:val="nil"/>
              <w:bottom w:val="single" w:color="auto" w:sz="4" w:space="0"/>
              <w:right w:val="single" w:color="auto" w:sz="4" w:space="0"/>
            </w:tcBorders>
            <w:vAlign w:val="center"/>
          </w:tcPr>
          <w:p w14:paraId="3BFEBA00">
            <w:pPr>
              <w:spacing w:line="400" w:lineRule="exact"/>
              <w:jc w:val="center"/>
              <w:rPr>
                <w:rFonts w:hint="eastAsia" w:ascii="仿宋" w:hAnsi="仿宋" w:eastAsia="仿宋" w:cs="仿宋"/>
                <w:color w:val="auto"/>
                <w:szCs w:val="21"/>
                <w:highlight w:val="none"/>
              </w:rPr>
            </w:pPr>
          </w:p>
        </w:tc>
        <w:tc>
          <w:tcPr>
            <w:tcW w:w="760" w:type="pct"/>
            <w:vMerge w:val="continue"/>
            <w:tcBorders>
              <w:left w:val="nil"/>
              <w:bottom w:val="single" w:color="auto" w:sz="4" w:space="0"/>
              <w:right w:val="single" w:color="auto" w:sz="4" w:space="0"/>
            </w:tcBorders>
            <w:vAlign w:val="center"/>
          </w:tcPr>
          <w:p w14:paraId="66FDAD89">
            <w:pPr>
              <w:spacing w:line="400" w:lineRule="exact"/>
              <w:jc w:val="center"/>
              <w:rPr>
                <w:rFonts w:hint="eastAsia" w:ascii="仿宋" w:hAnsi="仿宋" w:eastAsia="仿宋" w:cs="仿宋"/>
                <w:color w:val="auto"/>
                <w:szCs w:val="21"/>
                <w:highlight w:val="none"/>
              </w:rPr>
            </w:pPr>
          </w:p>
        </w:tc>
        <w:tc>
          <w:tcPr>
            <w:tcW w:w="681" w:type="pct"/>
            <w:tcBorders>
              <w:top w:val="single" w:color="auto" w:sz="4" w:space="0"/>
              <w:left w:val="nil"/>
              <w:bottom w:val="single" w:color="auto" w:sz="4" w:space="0"/>
              <w:right w:val="single" w:color="auto" w:sz="4" w:space="0"/>
            </w:tcBorders>
            <w:vAlign w:val="center"/>
          </w:tcPr>
          <w:p w14:paraId="2937E868">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证书名称</w:t>
            </w:r>
          </w:p>
        </w:tc>
        <w:tc>
          <w:tcPr>
            <w:tcW w:w="695" w:type="pct"/>
            <w:tcBorders>
              <w:top w:val="single" w:color="auto" w:sz="4" w:space="0"/>
              <w:left w:val="nil"/>
              <w:bottom w:val="single" w:color="auto" w:sz="4" w:space="0"/>
              <w:right w:val="single" w:color="auto" w:sz="4" w:space="0"/>
            </w:tcBorders>
            <w:vAlign w:val="center"/>
          </w:tcPr>
          <w:p w14:paraId="4584C500">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证书编号</w:t>
            </w:r>
          </w:p>
        </w:tc>
        <w:tc>
          <w:tcPr>
            <w:tcW w:w="605" w:type="pct"/>
            <w:tcBorders>
              <w:top w:val="single" w:color="auto" w:sz="4" w:space="0"/>
              <w:left w:val="nil"/>
              <w:bottom w:val="single" w:color="auto" w:sz="4" w:space="0"/>
              <w:right w:val="single" w:color="auto" w:sz="4" w:space="0"/>
            </w:tcBorders>
            <w:vAlign w:val="center"/>
          </w:tcPr>
          <w:p w14:paraId="5E301EAA">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职称专业</w:t>
            </w:r>
          </w:p>
        </w:tc>
        <w:tc>
          <w:tcPr>
            <w:tcW w:w="896" w:type="pct"/>
            <w:tcBorders>
              <w:top w:val="single" w:color="auto" w:sz="4" w:space="0"/>
              <w:left w:val="nil"/>
              <w:bottom w:val="single" w:color="auto" w:sz="4" w:space="0"/>
              <w:right w:val="single" w:color="auto" w:sz="4" w:space="0"/>
            </w:tcBorders>
            <w:vAlign w:val="center"/>
          </w:tcPr>
          <w:p w14:paraId="3987E45D">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级别</w:t>
            </w:r>
          </w:p>
        </w:tc>
      </w:tr>
      <w:tr w14:paraId="6FA4DC4C">
        <w:tblPrEx>
          <w:tblCellMar>
            <w:top w:w="0" w:type="dxa"/>
            <w:left w:w="0" w:type="dxa"/>
            <w:bottom w:w="0" w:type="dxa"/>
            <w:right w:w="0" w:type="dxa"/>
          </w:tblCellMar>
        </w:tblPrEx>
        <w:trPr>
          <w:trHeight w:val="70" w:hRule="atLeast"/>
          <w:jc w:val="center"/>
        </w:trPr>
        <w:tc>
          <w:tcPr>
            <w:tcW w:w="458" w:type="pct"/>
            <w:tcBorders>
              <w:top w:val="single" w:color="auto" w:sz="4" w:space="0"/>
              <w:left w:val="single" w:color="auto" w:sz="4" w:space="0"/>
              <w:bottom w:val="single" w:color="auto" w:sz="4" w:space="0"/>
              <w:right w:val="single" w:color="auto" w:sz="4" w:space="0"/>
            </w:tcBorders>
            <w:vAlign w:val="center"/>
          </w:tcPr>
          <w:p w14:paraId="2CEBA2CE">
            <w:pPr>
              <w:spacing w:line="400" w:lineRule="exact"/>
              <w:jc w:val="center"/>
              <w:rPr>
                <w:rFonts w:hint="eastAsia" w:ascii="仿宋" w:hAnsi="仿宋" w:eastAsia="仿宋" w:cs="仿宋"/>
                <w:color w:val="auto"/>
                <w:szCs w:val="21"/>
                <w:highlight w:val="none"/>
              </w:rPr>
            </w:pPr>
          </w:p>
        </w:tc>
        <w:tc>
          <w:tcPr>
            <w:tcW w:w="905" w:type="pct"/>
            <w:tcBorders>
              <w:top w:val="single" w:color="auto" w:sz="4" w:space="0"/>
              <w:left w:val="nil"/>
              <w:bottom w:val="single" w:color="auto" w:sz="4" w:space="0"/>
              <w:right w:val="single" w:color="auto" w:sz="4" w:space="0"/>
            </w:tcBorders>
            <w:vAlign w:val="center"/>
          </w:tcPr>
          <w:p w14:paraId="1ED3B912">
            <w:pPr>
              <w:spacing w:line="400" w:lineRule="exact"/>
              <w:rPr>
                <w:rFonts w:hint="eastAsia" w:ascii="仿宋" w:hAnsi="仿宋" w:eastAsia="仿宋" w:cs="仿宋"/>
                <w:color w:val="auto"/>
                <w:szCs w:val="21"/>
                <w:highlight w:val="none"/>
              </w:rPr>
            </w:pPr>
          </w:p>
        </w:tc>
        <w:tc>
          <w:tcPr>
            <w:tcW w:w="760" w:type="pct"/>
            <w:tcBorders>
              <w:top w:val="single" w:color="auto" w:sz="4" w:space="0"/>
              <w:left w:val="nil"/>
              <w:bottom w:val="single" w:color="auto" w:sz="4" w:space="0"/>
              <w:right w:val="single" w:color="auto" w:sz="4" w:space="0"/>
            </w:tcBorders>
            <w:vAlign w:val="center"/>
          </w:tcPr>
          <w:p w14:paraId="59546AA8">
            <w:pPr>
              <w:spacing w:line="400" w:lineRule="exact"/>
              <w:jc w:val="center"/>
              <w:rPr>
                <w:rFonts w:hint="eastAsia" w:ascii="仿宋" w:hAnsi="仿宋" w:eastAsia="仿宋" w:cs="仿宋"/>
                <w:color w:val="auto"/>
                <w:szCs w:val="21"/>
                <w:highlight w:val="none"/>
              </w:rPr>
            </w:pPr>
          </w:p>
        </w:tc>
        <w:tc>
          <w:tcPr>
            <w:tcW w:w="681" w:type="pct"/>
            <w:tcBorders>
              <w:top w:val="single" w:color="auto" w:sz="4" w:space="0"/>
              <w:left w:val="nil"/>
              <w:bottom w:val="single" w:color="auto" w:sz="4" w:space="0"/>
              <w:right w:val="single" w:color="auto" w:sz="4" w:space="0"/>
            </w:tcBorders>
            <w:vAlign w:val="center"/>
          </w:tcPr>
          <w:p w14:paraId="01A17E39">
            <w:pPr>
              <w:spacing w:line="400" w:lineRule="exact"/>
              <w:jc w:val="center"/>
              <w:rPr>
                <w:rFonts w:hint="eastAsia" w:ascii="仿宋" w:hAnsi="仿宋" w:eastAsia="仿宋" w:cs="仿宋"/>
                <w:color w:val="auto"/>
                <w:szCs w:val="21"/>
                <w:highlight w:val="none"/>
              </w:rPr>
            </w:pPr>
          </w:p>
        </w:tc>
        <w:tc>
          <w:tcPr>
            <w:tcW w:w="695" w:type="pct"/>
            <w:tcBorders>
              <w:top w:val="single" w:color="auto" w:sz="4" w:space="0"/>
              <w:left w:val="nil"/>
              <w:bottom w:val="single" w:color="auto" w:sz="4" w:space="0"/>
              <w:right w:val="single" w:color="auto" w:sz="4" w:space="0"/>
            </w:tcBorders>
            <w:vAlign w:val="center"/>
          </w:tcPr>
          <w:p w14:paraId="33BF59BC">
            <w:pPr>
              <w:spacing w:line="400" w:lineRule="exact"/>
              <w:jc w:val="center"/>
              <w:rPr>
                <w:rFonts w:hint="eastAsia" w:ascii="仿宋" w:hAnsi="仿宋" w:eastAsia="仿宋" w:cs="仿宋"/>
                <w:color w:val="auto"/>
                <w:szCs w:val="21"/>
                <w:highlight w:val="none"/>
              </w:rPr>
            </w:pPr>
          </w:p>
        </w:tc>
        <w:tc>
          <w:tcPr>
            <w:tcW w:w="605" w:type="pct"/>
            <w:tcBorders>
              <w:top w:val="single" w:color="auto" w:sz="4" w:space="0"/>
              <w:left w:val="nil"/>
              <w:bottom w:val="single" w:color="auto" w:sz="4" w:space="0"/>
              <w:right w:val="single" w:color="auto" w:sz="4" w:space="0"/>
            </w:tcBorders>
            <w:vAlign w:val="center"/>
          </w:tcPr>
          <w:p w14:paraId="55536B10">
            <w:pPr>
              <w:spacing w:line="400" w:lineRule="exact"/>
              <w:jc w:val="center"/>
              <w:rPr>
                <w:rFonts w:hint="eastAsia" w:ascii="仿宋" w:hAnsi="仿宋" w:eastAsia="仿宋" w:cs="仿宋"/>
                <w:color w:val="auto"/>
                <w:szCs w:val="21"/>
                <w:highlight w:val="none"/>
              </w:rPr>
            </w:pPr>
          </w:p>
        </w:tc>
        <w:tc>
          <w:tcPr>
            <w:tcW w:w="896" w:type="pct"/>
            <w:tcBorders>
              <w:top w:val="single" w:color="auto" w:sz="4" w:space="0"/>
              <w:left w:val="nil"/>
              <w:bottom w:val="single" w:color="auto" w:sz="4" w:space="0"/>
              <w:right w:val="single" w:color="auto" w:sz="4" w:space="0"/>
            </w:tcBorders>
          </w:tcPr>
          <w:p w14:paraId="37E574FE">
            <w:pPr>
              <w:spacing w:line="400" w:lineRule="exact"/>
              <w:jc w:val="center"/>
              <w:rPr>
                <w:rFonts w:hint="eastAsia" w:ascii="仿宋" w:hAnsi="仿宋" w:eastAsia="仿宋" w:cs="仿宋"/>
                <w:color w:val="auto"/>
                <w:szCs w:val="21"/>
                <w:highlight w:val="none"/>
              </w:rPr>
            </w:pPr>
          </w:p>
        </w:tc>
      </w:tr>
    </w:tbl>
    <w:p w14:paraId="5D3A02A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 w:val="21"/>
          <w:szCs w:val="21"/>
          <w:highlight w:val="none"/>
        </w:rPr>
      </w:pPr>
    </w:p>
    <w:p w14:paraId="5C906E4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法定代表或授权代表签字：</w:t>
      </w:r>
    </w:p>
    <w:p w14:paraId="69EA6EA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供应商名称</w:t>
      </w:r>
      <w:r>
        <w:rPr>
          <w:rFonts w:hint="eastAsia" w:ascii="仿宋" w:hAnsi="仿宋" w:eastAsia="仿宋" w:cs="仿宋"/>
          <w:color w:val="auto"/>
          <w:szCs w:val="21"/>
          <w:highlight w:val="none"/>
          <w:lang w:eastAsia="zh-CN"/>
        </w:rPr>
        <w:t>（加盖供应商公章）</w:t>
      </w:r>
      <w:r>
        <w:rPr>
          <w:rFonts w:hint="eastAsia" w:ascii="仿宋" w:hAnsi="仿宋" w:eastAsia="仿宋" w:cs="仿宋"/>
          <w:color w:val="auto"/>
          <w:sz w:val="21"/>
          <w:szCs w:val="21"/>
          <w:highlight w:val="none"/>
        </w:rPr>
        <w:t>：</w:t>
      </w:r>
    </w:p>
    <w:p w14:paraId="065BABC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color w:val="auto"/>
          <w:sz w:val="21"/>
          <w:szCs w:val="21"/>
          <w:highlight w:val="none"/>
        </w:rPr>
      </w:pPr>
      <w:r>
        <w:rPr>
          <w:rFonts w:hint="eastAsia" w:ascii="仿宋" w:hAnsi="仿宋" w:eastAsia="仿宋" w:cs="仿宋"/>
          <w:color w:val="auto"/>
          <w:szCs w:val="21"/>
          <w:highlight w:val="none"/>
        </w:rPr>
        <w:t>日 期：</w:t>
      </w:r>
      <w:r>
        <w:rPr>
          <w:rFonts w:hint="eastAsia" w:ascii="仿宋" w:hAnsi="仿宋" w:eastAsia="仿宋" w:cs="仿宋"/>
          <w:color w:val="auto"/>
          <w:szCs w:val="21"/>
          <w:highlight w:val="none"/>
          <w:u w:val="single"/>
        </w:rPr>
        <w:t>XXXX</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XX</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XX</w:t>
      </w:r>
      <w:r>
        <w:rPr>
          <w:rFonts w:hint="eastAsia" w:ascii="仿宋" w:hAnsi="仿宋" w:eastAsia="仿宋" w:cs="仿宋"/>
          <w:color w:val="auto"/>
          <w:szCs w:val="21"/>
          <w:highlight w:val="none"/>
        </w:rPr>
        <w:t>日</w:t>
      </w:r>
    </w:p>
    <w:p w14:paraId="36C0BD09">
      <w:pPr>
        <w:widowControl/>
        <w:spacing w:line="400" w:lineRule="exact"/>
        <w:jc w:val="left"/>
        <w:rPr>
          <w:rFonts w:hint="eastAsia" w:ascii="仿宋" w:hAnsi="仿宋" w:eastAsia="仿宋" w:cs="仿宋"/>
          <w:color w:val="auto"/>
          <w:szCs w:val="21"/>
          <w:highlight w:val="none"/>
        </w:rPr>
      </w:pPr>
    </w:p>
    <w:p w14:paraId="19BD504E">
      <w:pPr>
        <w:widowControl/>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p>
    <w:p w14:paraId="25E12197">
      <w:pPr>
        <w:widowControl/>
        <w:spacing w:line="400" w:lineRule="exact"/>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格式</w:t>
      </w:r>
      <w:r>
        <w:rPr>
          <w:rFonts w:hint="eastAsia" w:ascii="仿宋" w:hAnsi="仿宋" w:eastAsia="仿宋" w:cs="仿宋"/>
          <w:b/>
          <w:color w:val="auto"/>
          <w:szCs w:val="21"/>
          <w:highlight w:val="none"/>
          <w:lang w:val="en-US" w:eastAsia="zh-CN"/>
        </w:rPr>
        <w:t>11</w:t>
      </w:r>
      <w:r>
        <w:rPr>
          <w:rFonts w:hint="eastAsia" w:ascii="仿宋" w:hAnsi="仿宋" w:eastAsia="仿宋" w:cs="仿宋"/>
          <w:b/>
          <w:color w:val="auto"/>
          <w:szCs w:val="21"/>
          <w:highlight w:val="none"/>
        </w:rPr>
        <w:t>：</w:t>
      </w:r>
      <w:r>
        <w:rPr>
          <w:rFonts w:hint="eastAsia" w:ascii="仿宋" w:hAnsi="仿宋" w:eastAsia="仿宋" w:cs="仿宋"/>
          <w:b/>
          <w:color w:val="auto"/>
          <w:szCs w:val="21"/>
          <w:highlight w:val="none"/>
          <w:lang w:val="en-US" w:eastAsia="zh-CN"/>
        </w:rPr>
        <w:t>最后</w:t>
      </w:r>
      <w:r>
        <w:rPr>
          <w:rFonts w:hint="eastAsia" w:ascii="仿宋" w:hAnsi="仿宋" w:eastAsia="仿宋" w:cs="仿宋"/>
          <w:b/>
          <w:color w:val="auto"/>
          <w:szCs w:val="21"/>
          <w:highlight w:val="none"/>
        </w:rPr>
        <w:t>报价一览表</w:t>
      </w:r>
    </w:p>
    <w:p w14:paraId="5A8F0EC1">
      <w:pPr>
        <w:widowControl/>
        <w:spacing w:line="400" w:lineRule="exact"/>
        <w:jc w:val="center"/>
        <w:rPr>
          <w:rFonts w:hint="eastAsia" w:ascii="仿宋" w:hAnsi="仿宋" w:eastAsia="仿宋" w:cs="仿宋"/>
          <w:color w:val="auto"/>
          <w:szCs w:val="21"/>
          <w:highlight w:val="none"/>
        </w:rPr>
      </w:pPr>
    </w:p>
    <w:p w14:paraId="57F77A72">
      <w:pPr>
        <w:widowControl/>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最后</w:t>
      </w:r>
      <w:r>
        <w:rPr>
          <w:rFonts w:hint="eastAsia" w:ascii="仿宋" w:hAnsi="仿宋" w:eastAsia="仿宋" w:cs="仿宋"/>
          <w:color w:val="auto"/>
          <w:szCs w:val="21"/>
          <w:highlight w:val="none"/>
        </w:rPr>
        <w:t>报价一览表</w:t>
      </w:r>
    </w:p>
    <w:p w14:paraId="77DF9B67">
      <w:pPr>
        <w:pStyle w:val="2"/>
        <w:jc w:val="center"/>
        <w:rPr>
          <w:rFonts w:hint="eastAsia" w:ascii="仿宋" w:hAnsi="仿宋" w:eastAsia="仿宋" w:cs="仿宋"/>
          <w:color w:val="auto"/>
          <w:highlight w:val="none"/>
        </w:rPr>
      </w:pPr>
      <w:r>
        <w:rPr>
          <w:rFonts w:hint="eastAsia" w:ascii="仿宋" w:hAnsi="仿宋" w:eastAsia="仿宋" w:cs="仿宋"/>
          <w:color w:val="auto"/>
          <w:highlight w:val="none"/>
        </w:rPr>
        <w:t>（实质性要求）</w:t>
      </w:r>
    </w:p>
    <w:p w14:paraId="43E52590">
      <w:pPr>
        <w:pStyle w:val="26"/>
        <w:ind w:firstLine="240"/>
        <w:rPr>
          <w:rFonts w:hint="eastAsia" w:ascii="仿宋" w:hAnsi="仿宋" w:eastAsia="仿宋" w:cs="仿宋"/>
          <w:color w:val="auto"/>
          <w:highlight w:val="none"/>
        </w:rPr>
      </w:pPr>
    </w:p>
    <w:p w14:paraId="2C91687E">
      <w:pPr>
        <w:pStyle w:val="26"/>
        <w:ind w:firstLine="240"/>
        <w:rPr>
          <w:rFonts w:hint="eastAsia" w:ascii="仿宋" w:hAnsi="仿宋" w:eastAsia="仿宋" w:cs="仿宋"/>
          <w:color w:val="auto"/>
          <w:highlight w:val="none"/>
        </w:rPr>
      </w:pPr>
    </w:p>
    <w:tbl>
      <w:tblPr>
        <w:tblStyle w:val="29"/>
        <w:tblW w:w="4986" w:type="pct"/>
        <w:jc w:val="center"/>
        <w:tblLayout w:type="autofit"/>
        <w:tblCellMar>
          <w:top w:w="0" w:type="dxa"/>
          <w:left w:w="108" w:type="dxa"/>
          <w:bottom w:w="0" w:type="dxa"/>
          <w:right w:w="108" w:type="dxa"/>
        </w:tblCellMar>
      </w:tblPr>
      <w:tblGrid>
        <w:gridCol w:w="1435"/>
        <w:gridCol w:w="4"/>
        <w:gridCol w:w="2255"/>
        <w:gridCol w:w="2043"/>
        <w:gridCol w:w="856"/>
        <w:gridCol w:w="751"/>
        <w:gridCol w:w="1272"/>
        <w:gridCol w:w="1310"/>
        <w:gridCol w:w="8"/>
      </w:tblGrid>
      <w:tr w14:paraId="0B983DC0">
        <w:tblPrEx>
          <w:tblCellMar>
            <w:top w:w="0" w:type="dxa"/>
            <w:left w:w="108" w:type="dxa"/>
            <w:bottom w:w="0" w:type="dxa"/>
            <w:right w:w="108" w:type="dxa"/>
          </w:tblCellMar>
        </w:tblPrEx>
        <w:trPr>
          <w:trHeight w:val="624" w:hRule="atLeast"/>
          <w:jc w:val="center"/>
        </w:trPr>
        <w:tc>
          <w:tcPr>
            <w:tcW w:w="724" w:type="pct"/>
            <w:gridSpan w:val="2"/>
            <w:tcBorders>
              <w:top w:val="single" w:color="auto" w:sz="4" w:space="0"/>
              <w:left w:val="single" w:color="auto" w:sz="4" w:space="0"/>
              <w:bottom w:val="single" w:color="auto" w:sz="4" w:space="0"/>
              <w:right w:val="single" w:color="auto" w:sz="4" w:space="0"/>
            </w:tcBorders>
            <w:noWrap/>
            <w:vAlign w:val="center"/>
          </w:tcPr>
          <w:p w14:paraId="2DF5D04B">
            <w:pPr>
              <w:jc w:val="center"/>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项目名称</w:t>
            </w:r>
          </w:p>
        </w:tc>
        <w:tc>
          <w:tcPr>
            <w:tcW w:w="4275" w:type="pct"/>
            <w:gridSpan w:val="7"/>
            <w:tcBorders>
              <w:top w:val="single" w:color="auto" w:sz="4" w:space="0"/>
              <w:left w:val="nil"/>
              <w:bottom w:val="single" w:color="auto" w:sz="4" w:space="0"/>
              <w:right w:val="single" w:color="auto" w:sz="4" w:space="0"/>
            </w:tcBorders>
            <w:noWrap/>
            <w:vAlign w:val="center"/>
          </w:tcPr>
          <w:p w14:paraId="0EB8EF33">
            <w:pPr>
              <w:rPr>
                <w:rFonts w:ascii="仿宋" w:hAnsi="仿宋" w:eastAsia="仿宋" w:cs="仿宋"/>
                <w:bCs/>
                <w:color w:val="auto"/>
                <w:sz w:val="21"/>
                <w:szCs w:val="21"/>
                <w:highlight w:val="none"/>
              </w:rPr>
            </w:pPr>
          </w:p>
        </w:tc>
      </w:tr>
      <w:tr w14:paraId="429613F1">
        <w:tblPrEx>
          <w:tblCellMar>
            <w:top w:w="0" w:type="dxa"/>
            <w:left w:w="108" w:type="dxa"/>
            <w:bottom w:w="0" w:type="dxa"/>
            <w:right w:w="108" w:type="dxa"/>
          </w:tblCellMar>
        </w:tblPrEx>
        <w:trPr>
          <w:trHeight w:val="624" w:hRule="atLeast"/>
          <w:jc w:val="center"/>
        </w:trPr>
        <w:tc>
          <w:tcPr>
            <w:tcW w:w="724" w:type="pct"/>
            <w:gridSpan w:val="2"/>
            <w:tcBorders>
              <w:top w:val="single" w:color="auto" w:sz="4" w:space="0"/>
              <w:left w:val="single" w:color="auto" w:sz="4" w:space="0"/>
              <w:bottom w:val="single" w:color="auto" w:sz="4" w:space="0"/>
              <w:right w:val="single" w:color="auto" w:sz="4" w:space="0"/>
            </w:tcBorders>
            <w:noWrap/>
            <w:vAlign w:val="center"/>
          </w:tcPr>
          <w:p w14:paraId="17ECFDE4">
            <w:pPr>
              <w:jc w:val="center"/>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项目编号</w:t>
            </w:r>
          </w:p>
        </w:tc>
        <w:tc>
          <w:tcPr>
            <w:tcW w:w="4275" w:type="pct"/>
            <w:gridSpan w:val="7"/>
            <w:tcBorders>
              <w:top w:val="single" w:color="auto" w:sz="4" w:space="0"/>
              <w:left w:val="nil"/>
              <w:bottom w:val="single" w:color="auto" w:sz="4" w:space="0"/>
              <w:right w:val="single" w:color="auto" w:sz="4" w:space="0"/>
            </w:tcBorders>
            <w:noWrap/>
            <w:vAlign w:val="center"/>
          </w:tcPr>
          <w:p w14:paraId="1493D094">
            <w:pPr>
              <w:rPr>
                <w:rFonts w:ascii="仿宋" w:hAnsi="仿宋" w:eastAsia="仿宋" w:cs="仿宋"/>
                <w:bCs/>
                <w:color w:val="auto"/>
                <w:sz w:val="21"/>
                <w:szCs w:val="21"/>
                <w:highlight w:val="none"/>
              </w:rPr>
            </w:pPr>
          </w:p>
        </w:tc>
      </w:tr>
      <w:tr w14:paraId="565714AF">
        <w:tblPrEx>
          <w:tblCellMar>
            <w:top w:w="0" w:type="dxa"/>
            <w:left w:w="108" w:type="dxa"/>
            <w:bottom w:w="0" w:type="dxa"/>
            <w:right w:w="108" w:type="dxa"/>
          </w:tblCellMar>
        </w:tblPrEx>
        <w:trPr>
          <w:gridAfter w:val="1"/>
          <w:wAfter w:w="4" w:type="pct"/>
          <w:trHeight w:val="624" w:hRule="atLeast"/>
          <w:jc w:val="center"/>
        </w:trPr>
        <w:tc>
          <w:tcPr>
            <w:tcW w:w="722" w:type="pct"/>
            <w:tcBorders>
              <w:top w:val="nil"/>
              <w:left w:val="single" w:color="auto" w:sz="4" w:space="0"/>
              <w:bottom w:val="single" w:color="auto" w:sz="4" w:space="0"/>
              <w:right w:val="single" w:color="auto" w:sz="4" w:space="0"/>
            </w:tcBorders>
            <w:noWrap/>
            <w:vAlign w:val="center"/>
          </w:tcPr>
          <w:p w14:paraId="479A40B4">
            <w:pPr>
              <w:jc w:val="center"/>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序号</w:t>
            </w:r>
          </w:p>
        </w:tc>
        <w:tc>
          <w:tcPr>
            <w:tcW w:w="1137" w:type="pct"/>
            <w:gridSpan w:val="2"/>
            <w:tcBorders>
              <w:top w:val="nil"/>
              <w:left w:val="nil"/>
              <w:bottom w:val="single" w:color="auto" w:sz="4" w:space="0"/>
              <w:right w:val="single" w:color="auto" w:sz="4" w:space="0"/>
            </w:tcBorders>
            <w:noWrap/>
            <w:vAlign w:val="center"/>
          </w:tcPr>
          <w:p w14:paraId="1558CC8E">
            <w:pPr>
              <w:jc w:val="center"/>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采购标的</w:t>
            </w:r>
          </w:p>
        </w:tc>
        <w:tc>
          <w:tcPr>
            <w:tcW w:w="1028" w:type="pct"/>
            <w:tcBorders>
              <w:top w:val="nil"/>
              <w:left w:val="nil"/>
              <w:bottom w:val="single" w:color="auto" w:sz="4" w:space="0"/>
              <w:right w:val="single" w:color="auto" w:sz="4" w:space="0"/>
            </w:tcBorders>
            <w:noWrap/>
            <w:vAlign w:val="center"/>
          </w:tcPr>
          <w:p w14:paraId="120E521E">
            <w:pPr>
              <w:jc w:val="center"/>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服务期限</w:t>
            </w:r>
          </w:p>
        </w:tc>
        <w:tc>
          <w:tcPr>
            <w:tcW w:w="431" w:type="pct"/>
            <w:tcBorders>
              <w:top w:val="nil"/>
              <w:left w:val="nil"/>
              <w:bottom w:val="single" w:color="auto" w:sz="4" w:space="0"/>
              <w:right w:val="single" w:color="auto" w:sz="4" w:space="0"/>
            </w:tcBorders>
            <w:noWrap/>
            <w:vAlign w:val="center"/>
          </w:tcPr>
          <w:p w14:paraId="65BB24AC">
            <w:pPr>
              <w:pStyle w:val="75"/>
              <w:wordWrap w:val="0"/>
              <w:spacing w:line="320" w:lineRule="exact"/>
              <w:ind w:left="38"/>
              <w:jc w:val="center"/>
              <w:rPr>
                <w:rFonts w:hint="eastAsia" w:ascii="仿宋" w:hAnsi="仿宋" w:eastAsia="宋体" w:cs="仿宋"/>
                <w:bCs/>
                <w:color w:val="auto"/>
                <w:sz w:val="21"/>
                <w:szCs w:val="21"/>
                <w:highlight w:val="none"/>
                <w:lang w:val="en-US" w:eastAsia="zh-CN"/>
              </w:rPr>
            </w:pPr>
            <w:r>
              <w:rPr>
                <w:rFonts w:hint="eastAsia" w:ascii="仿宋" w:hAnsi="仿宋" w:eastAsia="仿宋" w:cs="仿宋"/>
                <w:bCs/>
                <w:color w:val="auto"/>
                <w:kern w:val="2"/>
                <w:sz w:val="21"/>
                <w:szCs w:val="21"/>
                <w:highlight w:val="none"/>
                <w:lang w:val="en-US" w:eastAsia="zh-CN"/>
              </w:rPr>
              <w:t>数量</w:t>
            </w:r>
          </w:p>
        </w:tc>
        <w:tc>
          <w:tcPr>
            <w:tcW w:w="378" w:type="pct"/>
            <w:tcBorders>
              <w:top w:val="nil"/>
              <w:left w:val="nil"/>
              <w:bottom w:val="single" w:color="auto" w:sz="4" w:space="0"/>
              <w:right w:val="single" w:color="auto" w:sz="4" w:space="0"/>
            </w:tcBorders>
            <w:noWrap/>
            <w:vAlign w:val="center"/>
          </w:tcPr>
          <w:p w14:paraId="2D81CC16">
            <w:pPr>
              <w:pStyle w:val="75"/>
              <w:wordWrap w:val="0"/>
              <w:spacing w:line="320" w:lineRule="exact"/>
              <w:ind w:left="38"/>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单位</w:t>
            </w:r>
          </w:p>
        </w:tc>
        <w:tc>
          <w:tcPr>
            <w:tcW w:w="640" w:type="pct"/>
            <w:tcBorders>
              <w:top w:val="nil"/>
              <w:left w:val="nil"/>
              <w:bottom w:val="single" w:color="auto" w:sz="4" w:space="0"/>
              <w:right w:val="single" w:color="auto" w:sz="4" w:space="0"/>
            </w:tcBorders>
            <w:noWrap/>
            <w:vAlign w:val="center"/>
          </w:tcPr>
          <w:p w14:paraId="15C12E4F">
            <w:pPr>
              <w:jc w:val="center"/>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eastAsia="zh-CN"/>
              </w:rPr>
              <w:t>单价</w:t>
            </w:r>
            <w:r>
              <w:rPr>
                <w:rFonts w:hint="eastAsia" w:ascii="仿宋" w:hAnsi="仿宋" w:eastAsia="仿宋" w:cs="仿宋"/>
                <w:bCs/>
                <w:color w:val="auto"/>
                <w:sz w:val="21"/>
                <w:szCs w:val="21"/>
                <w:highlight w:val="none"/>
              </w:rPr>
              <w:t>（元）</w:t>
            </w:r>
          </w:p>
        </w:tc>
        <w:tc>
          <w:tcPr>
            <w:tcW w:w="658" w:type="pct"/>
            <w:tcBorders>
              <w:top w:val="nil"/>
              <w:left w:val="nil"/>
              <w:bottom w:val="single" w:color="auto" w:sz="4" w:space="0"/>
              <w:right w:val="single" w:color="auto" w:sz="4" w:space="0"/>
            </w:tcBorders>
            <w:noWrap/>
            <w:vAlign w:val="center"/>
          </w:tcPr>
          <w:p w14:paraId="7A9ABE20">
            <w:pPr>
              <w:jc w:val="center"/>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总价（元）</w:t>
            </w:r>
          </w:p>
        </w:tc>
      </w:tr>
      <w:tr w14:paraId="54BD7728">
        <w:tblPrEx>
          <w:tblCellMar>
            <w:top w:w="0" w:type="dxa"/>
            <w:left w:w="108" w:type="dxa"/>
            <w:bottom w:w="0" w:type="dxa"/>
            <w:right w:w="108" w:type="dxa"/>
          </w:tblCellMar>
        </w:tblPrEx>
        <w:trPr>
          <w:gridAfter w:val="1"/>
          <w:wAfter w:w="4" w:type="pct"/>
          <w:trHeight w:val="312" w:hRule="atLeast"/>
          <w:jc w:val="center"/>
        </w:trPr>
        <w:tc>
          <w:tcPr>
            <w:tcW w:w="722" w:type="pct"/>
            <w:tcBorders>
              <w:top w:val="nil"/>
              <w:left w:val="single" w:color="auto" w:sz="4" w:space="0"/>
              <w:bottom w:val="single" w:color="auto" w:sz="4" w:space="0"/>
              <w:right w:val="single" w:color="auto" w:sz="4" w:space="0"/>
            </w:tcBorders>
            <w:noWrap/>
            <w:vAlign w:val="center"/>
          </w:tcPr>
          <w:p w14:paraId="574D7ED3">
            <w:pPr>
              <w:jc w:val="center"/>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1</w:t>
            </w:r>
          </w:p>
        </w:tc>
        <w:tc>
          <w:tcPr>
            <w:tcW w:w="1137" w:type="pct"/>
            <w:gridSpan w:val="2"/>
            <w:tcBorders>
              <w:top w:val="nil"/>
              <w:left w:val="nil"/>
              <w:bottom w:val="single" w:color="auto" w:sz="4" w:space="0"/>
              <w:right w:val="single" w:color="auto" w:sz="4" w:space="0"/>
            </w:tcBorders>
            <w:noWrap/>
            <w:vAlign w:val="center"/>
          </w:tcPr>
          <w:p w14:paraId="0716003B">
            <w:pPr>
              <w:jc w:val="center"/>
              <w:rPr>
                <w:rFonts w:ascii="仿宋" w:hAnsi="仿宋" w:eastAsia="仿宋" w:cs="仿宋"/>
                <w:bCs/>
                <w:color w:val="auto"/>
                <w:sz w:val="21"/>
                <w:szCs w:val="21"/>
                <w:highlight w:val="none"/>
              </w:rPr>
            </w:pPr>
          </w:p>
        </w:tc>
        <w:tc>
          <w:tcPr>
            <w:tcW w:w="1028" w:type="pct"/>
            <w:tcBorders>
              <w:top w:val="nil"/>
              <w:left w:val="nil"/>
              <w:bottom w:val="single" w:color="auto" w:sz="4" w:space="0"/>
              <w:right w:val="single" w:color="auto" w:sz="4" w:space="0"/>
            </w:tcBorders>
            <w:noWrap/>
            <w:vAlign w:val="center"/>
          </w:tcPr>
          <w:p w14:paraId="50923EE8">
            <w:pPr>
              <w:jc w:val="center"/>
              <w:rPr>
                <w:rFonts w:ascii="仿宋" w:hAnsi="仿宋" w:eastAsia="仿宋" w:cs="仿宋"/>
                <w:bCs/>
                <w:color w:val="auto"/>
                <w:sz w:val="21"/>
                <w:szCs w:val="21"/>
                <w:highlight w:val="none"/>
              </w:rPr>
            </w:pPr>
          </w:p>
        </w:tc>
        <w:tc>
          <w:tcPr>
            <w:tcW w:w="431" w:type="pct"/>
            <w:tcBorders>
              <w:top w:val="nil"/>
              <w:left w:val="nil"/>
              <w:bottom w:val="single" w:color="auto" w:sz="4" w:space="0"/>
              <w:right w:val="single" w:color="auto" w:sz="4" w:space="0"/>
            </w:tcBorders>
            <w:noWrap/>
            <w:vAlign w:val="center"/>
          </w:tcPr>
          <w:p w14:paraId="7AE837A3">
            <w:pPr>
              <w:jc w:val="center"/>
              <w:rPr>
                <w:rFonts w:ascii="仿宋" w:hAnsi="仿宋" w:eastAsia="仿宋" w:cs="仿宋"/>
                <w:bCs/>
                <w:color w:val="auto"/>
                <w:sz w:val="21"/>
                <w:szCs w:val="21"/>
                <w:highlight w:val="none"/>
              </w:rPr>
            </w:pPr>
          </w:p>
        </w:tc>
        <w:tc>
          <w:tcPr>
            <w:tcW w:w="378" w:type="pct"/>
            <w:tcBorders>
              <w:top w:val="nil"/>
              <w:left w:val="nil"/>
              <w:bottom w:val="single" w:color="auto" w:sz="4" w:space="0"/>
              <w:right w:val="single" w:color="auto" w:sz="4" w:space="0"/>
            </w:tcBorders>
            <w:noWrap/>
            <w:vAlign w:val="center"/>
          </w:tcPr>
          <w:p w14:paraId="63AC6FF2">
            <w:pPr>
              <w:jc w:val="center"/>
              <w:rPr>
                <w:rFonts w:ascii="仿宋" w:hAnsi="仿宋" w:eastAsia="仿宋" w:cs="仿宋"/>
                <w:bCs/>
                <w:color w:val="auto"/>
                <w:sz w:val="21"/>
                <w:szCs w:val="21"/>
                <w:highlight w:val="none"/>
              </w:rPr>
            </w:pPr>
          </w:p>
        </w:tc>
        <w:tc>
          <w:tcPr>
            <w:tcW w:w="640" w:type="pct"/>
            <w:tcBorders>
              <w:top w:val="nil"/>
              <w:left w:val="nil"/>
              <w:bottom w:val="single" w:color="auto" w:sz="4" w:space="0"/>
              <w:right w:val="single" w:color="auto" w:sz="4" w:space="0"/>
            </w:tcBorders>
            <w:noWrap/>
            <w:vAlign w:val="center"/>
          </w:tcPr>
          <w:p w14:paraId="4B93536B">
            <w:pPr>
              <w:widowControl/>
              <w:spacing w:line="360" w:lineRule="auto"/>
              <w:jc w:val="center"/>
              <w:rPr>
                <w:rFonts w:ascii="仿宋" w:hAnsi="仿宋" w:eastAsia="仿宋" w:cs="仿宋"/>
                <w:bCs/>
                <w:color w:val="auto"/>
                <w:sz w:val="21"/>
                <w:szCs w:val="21"/>
                <w:highlight w:val="none"/>
              </w:rPr>
            </w:pPr>
          </w:p>
        </w:tc>
        <w:tc>
          <w:tcPr>
            <w:tcW w:w="658" w:type="pct"/>
            <w:tcBorders>
              <w:top w:val="nil"/>
              <w:left w:val="nil"/>
              <w:bottom w:val="single" w:color="auto" w:sz="4" w:space="0"/>
              <w:right w:val="single" w:color="auto" w:sz="4" w:space="0"/>
            </w:tcBorders>
            <w:noWrap/>
            <w:vAlign w:val="center"/>
          </w:tcPr>
          <w:p w14:paraId="35869509">
            <w:pPr>
              <w:widowControl/>
              <w:spacing w:line="360" w:lineRule="auto"/>
              <w:jc w:val="center"/>
              <w:rPr>
                <w:rFonts w:ascii="仿宋" w:hAnsi="仿宋" w:eastAsia="仿宋" w:cs="仿宋"/>
                <w:bCs/>
                <w:color w:val="auto"/>
                <w:sz w:val="21"/>
                <w:szCs w:val="21"/>
                <w:highlight w:val="none"/>
              </w:rPr>
            </w:pPr>
          </w:p>
        </w:tc>
      </w:tr>
      <w:tr w14:paraId="18916917">
        <w:tblPrEx>
          <w:tblCellMar>
            <w:top w:w="0" w:type="dxa"/>
            <w:left w:w="108" w:type="dxa"/>
            <w:bottom w:w="0" w:type="dxa"/>
            <w:right w:w="108" w:type="dxa"/>
          </w:tblCellMar>
        </w:tblPrEx>
        <w:trPr>
          <w:gridAfter w:val="1"/>
          <w:wAfter w:w="4" w:type="pct"/>
          <w:trHeight w:val="312" w:hRule="atLeast"/>
          <w:jc w:val="center"/>
        </w:trPr>
        <w:tc>
          <w:tcPr>
            <w:tcW w:w="722" w:type="pct"/>
            <w:tcBorders>
              <w:top w:val="nil"/>
              <w:left w:val="single" w:color="auto" w:sz="4" w:space="0"/>
              <w:bottom w:val="single" w:color="auto" w:sz="4" w:space="0"/>
              <w:right w:val="single" w:color="auto" w:sz="4" w:space="0"/>
            </w:tcBorders>
            <w:noWrap/>
            <w:vAlign w:val="center"/>
          </w:tcPr>
          <w:p w14:paraId="350C1F20">
            <w:pPr>
              <w:widowControl/>
              <w:spacing w:line="360" w:lineRule="auto"/>
              <w:jc w:val="center"/>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w:t>
            </w:r>
          </w:p>
        </w:tc>
        <w:tc>
          <w:tcPr>
            <w:tcW w:w="1137" w:type="pct"/>
            <w:gridSpan w:val="2"/>
            <w:tcBorders>
              <w:top w:val="nil"/>
              <w:left w:val="nil"/>
              <w:bottom w:val="single" w:color="auto" w:sz="4" w:space="0"/>
              <w:right w:val="single" w:color="auto" w:sz="4" w:space="0"/>
            </w:tcBorders>
            <w:noWrap/>
            <w:vAlign w:val="center"/>
          </w:tcPr>
          <w:p w14:paraId="598941E4">
            <w:pPr>
              <w:widowControl/>
              <w:spacing w:line="360" w:lineRule="auto"/>
              <w:jc w:val="center"/>
              <w:rPr>
                <w:rFonts w:hint="eastAsia" w:ascii="仿宋" w:hAnsi="仿宋" w:eastAsia="仿宋" w:cs="仿宋"/>
                <w:bCs/>
                <w:color w:val="auto"/>
                <w:sz w:val="21"/>
                <w:szCs w:val="21"/>
                <w:highlight w:val="none"/>
              </w:rPr>
            </w:pPr>
          </w:p>
        </w:tc>
        <w:tc>
          <w:tcPr>
            <w:tcW w:w="1028" w:type="pct"/>
            <w:tcBorders>
              <w:top w:val="nil"/>
              <w:left w:val="nil"/>
              <w:bottom w:val="single" w:color="auto" w:sz="4" w:space="0"/>
              <w:right w:val="single" w:color="auto" w:sz="4" w:space="0"/>
            </w:tcBorders>
            <w:noWrap/>
            <w:vAlign w:val="center"/>
          </w:tcPr>
          <w:p w14:paraId="284B8A62">
            <w:pPr>
              <w:widowControl/>
              <w:spacing w:line="360" w:lineRule="auto"/>
              <w:jc w:val="center"/>
              <w:rPr>
                <w:rFonts w:hint="eastAsia" w:ascii="仿宋" w:hAnsi="仿宋" w:eastAsia="仿宋" w:cs="仿宋"/>
                <w:bCs/>
                <w:color w:val="auto"/>
                <w:sz w:val="21"/>
                <w:szCs w:val="21"/>
                <w:highlight w:val="none"/>
              </w:rPr>
            </w:pPr>
          </w:p>
        </w:tc>
        <w:tc>
          <w:tcPr>
            <w:tcW w:w="431" w:type="pct"/>
            <w:tcBorders>
              <w:top w:val="nil"/>
              <w:left w:val="nil"/>
              <w:bottom w:val="single" w:color="auto" w:sz="4" w:space="0"/>
              <w:right w:val="single" w:color="auto" w:sz="4" w:space="0"/>
            </w:tcBorders>
            <w:noWrap/>
            <w:vAlign w:val="center"/>
          </w:tcPr>
          <w:p w14:paraId="56C63E09">
            <w:pPr>
              <w:widowControl/>
              <w:spacing w:line="360" w:lineRule="auto"/>
              <w:jc w:val="center"/>
              <w:rPr>
                <w:rFonts w:hint="eastAsia" w:ascii="仿宋" w:hAnsi="仿宋" w:eastAsia="仿宋" w:cs="仿宋"/>
                <w:bCs/>
                <w:color w:val="auto"/>
                <w:sz w:val="21"/>
                <w:szCs w:val="21"/>
                <w:highlight w:val="none"/>
              </w:rPr>
            </w:pPr>
          </w:p>
        </w:tc>
        <w:tc>
          <w:tcPr>
            <w:tcW w:w="378" w:type="pct"/>
            <w:tcBorders>
              <w:top w:val="nil"/>
              <w:left w:val="nil"/>
              <w:bottom w:val="single" w:color="auto" w:sz="4" w:space="0"/>
              <w:right w:val="single" w:color="auto" w:sz="4" w:space="0"/>
            </w:tcBorders>
            <w:noWrap/>
            <w:vAlign w:val="center"/>
          </w:tcPr>
          <w:p w14:paraId="04D5DF98">
            <w:pPr>
              <w:widowControl/>
              <w:spacing w:line="360" w:lineRule="auto"/>
              <w:jc w:val="center"/>
              <w:rPr>
                <w:rFonts w:hint="eastAsia" w:ascii="仿宋" w:hAnsi="仿宋" w:eastAsia="仿宋" w:cs="仿宋"/>
                <w:bCs/>
                <w:color w:val="auto"/>
                <w:sz w:val="21"/>
                <w:szCs w:val="21"/>
                <w:highlight w:val="none"/>
              </w:rPr>
            </w:pPr>
          </w:p>
        </w:tc>
        <w:tc>
          <w:tcPr>
            <w:tcW w:w="640" w:type="pct"/>
            <w:tcBorders>
              <w:top w:val="nil"/>
              <w:left w:val="nil"/>
              <w:bottom w:val="single" w:color="auto" w:sz="4" w:space="0"/>
              <w:right w:val="single" w:color="auto" w:sz="4" w:space="0"/>
            </w:tcBorders>
            <w:noWrap/>
            <w:vAlign w:val="center"/>
          </w:tcPr>
          <w:p w14:paraId="55FD2313">
            <w:pPr>
              <w:widowControl/>
              <w:spacing w:line="360" w:lineRule="auto"/>
              <w:jc w:val="center"/>
              <w:rPr>
                <w:rFonts w:hint="eastAsia" w:ascii="仿宋" w:hAnsi="仿宋" w:eastAsia="仿宋" w:cs="仿宋"/>
                <w:bCs/>
                <w:color w:val="auto"/>
                <w:sz w:val="21"/>
                <w:szCs w:val="21"/>
                <w:highlight w:val="none"/>
              </w:rPr>
            </w:pPr>
          </w:p>
        </w:tc>
        <w:tc>
          <w:tcPr>
            <w:tcW w:w="658" w:type="pct"/>
            <w:tcBorders>
              <w:top w:val="nil"/>
              <w:left w:val="nil"/>
              <w:bottom w:val="single" w:color="auto" w:sz="4" w:space="0"/>
              <w:right w:val="single" w:color="auto" w:sz="4" w:space="0"/>
            </w:tcBorders>
            <w:noWrap/>
            <w:vAlign w:val="center"/>
          </w:tcPr>
          <w:p w14:paraId="79867335">
            <w:pPr>
              <w:widowControl/>
              <w:spacing w:line="360" w:lineRule="auto"/>
              <w:jc w:val="center"/>
              <w:rPr>
                <w:rFonts w:hint="eastAsia" w:ascii="仿宋" w:hAnsi="仿宋" w:eastAsia="仿宋" w:cs="仿宋"/>
                <w:bCs/>
                <w:color w:val="auto"/>
                <w:sz w:val="21"/>
                <w:szCs w:val="21"/>
                <w:highlight w:val="none"/>
              </w:rPr>
            </w:pPr>
          </w:p>
        </w:tc>
      </w:tr>
      <w:tr w14:paraId="549F7912">
        <w:tblPrEx>
          <w:tblCellMar>
            <w:top w:w="0" w:type="dxa"/>
            <w:left w:w="108" w:type="dxa"/>
            <w:bottom w:w="0" w:type="dxa"/>
            <w:right w:w="108" w:type="dxa"/>
          </w:tblCellMar>
        </w:tblPrEx>
        <w:trPr>
          <w:gridAfter w:val="1"/>
          <w:wAfter w:w="4" w:type="pct"/>
          <w:trHeight w:val="624" w:hRule="atLeast"/>
          <w:jc w:val="center"/>
        </w:trPr>
        <w:tc>
          <w:tcPr>
            <w:tcW w:w="722" w:type="pct"/>
            <w:tcBorders>
              <w:top w:val="single" w:color="auto" w:sz="4" w:space="0"/>
              <w:left w:val="single" w:color="auto" w:sz="4" w:space="0"/>
              <w:bottom w:val="single" w:color="auto" w:sz="4" w:space="0"/>
              <w:right w:val="single" w:color="auto" w:sz="4" w:space="0"/>
            </w:tcBorders>
            <w:noWrap/>
            <w:vAlign w:val="center"/>
          </w:tcPr>
          <w:p w14:paraId="45E7FB55">
            <w:pPr>
              <w:jc w:val="center"/>
              <w:rPr>
                <w:rFonts w:ascii="仿宋" w:hAnsi="仿宋" w:eastAsia="仿宋" w:cs="仿宋"/>
                <w:color w:val="auto"/>
                <w:sz w:val="21"/>
                <w:szCs w:val="21"/>
                <w:highlight w:val="none"/>
              </w:rPr>
            </w:pPr>
            <w:r>
              <w:rPr>
                <w:rFonts w:hint="eastAsia" w:ascii="仿宋" w:hAnsi="仿宋" w:eastAsia="仿宋" w:cs="仿宋"/>
                <w:bCs/>
                <w:color w:val="auto"/>
                <w:sz w:val="21"/>
                <w:szCs w:val="21"/>
                <w:highlight w:val="none"/>
                <w:lang w:eastAsia="zh-CN"/>
              </w:rPr>
              <w:t>谈判</w:t>
            </w:r>
            <w:r>
              <w:rPr>
                <w:rFonts w:hint="eastAsia" w:ascii="仿宋" w:hAnsi="仿宋" w:eastAsia="仿宋" w:cs="仿宋"/>
                <w:bCs/>
                <w:color w:val="auto"/>
                <w:sz w:val="21"/>
                <w:szCs w:val="21"/>
                <w:highlight w:val="none"/>
              </w:rPr>
              <w:t>总价</w:t>
            </w:r>
          </w:p>
        </w:tc>
        <w:tc>
          <w:tcPr>
            <w:tcW w:w="4273" w:type="pct"/>
            <w:gridSpan w:val="7"/>
            <w:tcBorders>
              <w:top w:val="single" w:color="auto" w:sz="4" w:space="0"/>
              <w:left w:val="nil"/>
              <w:bottom w:val="single" w:color="auto" w:sz="4" w:space="0"/>
              <w:right w:val="single" w:color="auto" w:sz="4" w:space="0"/>
            </w:tcBorders>
            <w:noWrap/>
            <w:vAlign w:val="center"/>
          </w:tcPr>
          <w:p w14:paraId="608F659C">
            <w:pPr>
              <w:rPr>
                <w:rFonts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人民币大写：               （小写：          元 ）</w:t>
            </w:r>
          </w:p>
        </w:tc>
      </w:tr>
    </w:tbl>
    <w:p w14:paraId="169F999E">
      <w:pPr>
        <w:keepNext w:val="0"/>
        <w:keepLines w:val="0"/>
        <w:pageBreakBefore w:val="0"/>
        <w:kinsoku/>
        <w:overflowPunct/>
        <w:topLinePunct w:val="0"/>
        <w:bidi w:val="0"/>
        <w:snapToGrid/>
        <w:spacing w:line="400" w:lineRule="exact"/>
        <w:ind w:firstLine="220" w:firstLineChars="100"/>
        <w:jc w:val="left"/>
        <w:textAlignment w:val="auto"/>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注：1、</w:t>
      </w:r>
      <w:r>
        <w:rPr>
          <w:rFonts w:hint="eastAsia" w:ascii="仿宋" w:hAnsi="仿宋" w:eastAsia="仿宋" w:cs="仿宋"/>
          <w:color w:val="auto"/>
          <w:sz w:val="21"/>
          <w:szCs w:val="21"/>
          <w:highlight w:val="none"/>
          <w:lang w:val="en-US" w:eastAsia="zh-CN"/>
        </w:rPr>
        <w:t>供应商需根据采购标的数量自行添加行数</w:t>
      </w:r>
      <w:r>
        <w:rPr>
          <w:rFonts w:hint="eastAsia" w:ascii="仿宋" w:hAnsi="仿宋" w:eastAsia="仿宋" w:cs="仿宋"/>
          <w:color w:val="auto"/>
          <w:sz w:val="21"/>
          <w:szCs w:val="21"/>
          <w:highlight w:val="none"/>
          <w:lang w:eastAsia="zh-CN"/>
        </w:rPr>
        <w:t>。</w:t>
      </w:r>
    </w:p>
    <w:p w14:paraId="686AD96F">
      <w:pPr>
        <w:keepNext w:val="0"/>
        <w:keepLines w:val="0"/>
        <w:pageBreakBefore w:val="0"/>
        <w:kinsoku/>
        <w:overflowPunct/>
        <w:topLinePunct w:val="0"/>
        <w:bidi w:val="0"/>
        <w:snapToGrid/>
        <w:spacing w:line="400" w:lineRule="exact"/>
        <w:ind w:firstLine="660" w:firstLineChars="300"/>
        <w:jc w:val="left"/>
        <w:textAlignment w:val="auto"/>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2、</w:t>
      </w:r>
      <w:r>
        <w:rPr>
          <w:rFonts w:hint="eastAsia" w:ascii="仿宋" w:hAnsi="仿宋" w:eastAsia="仿宋" w:cs="仿宋"/>
          <w:b/>
          <w:color w:val="auto"/>
          <w:sz w:val="22"/>
          <w:szCs w:val="22"/>
          <w:highlight w:val="none"/>
        </w:rPr>
        <w:t>此表不放在响应文件中</w:t>
      </w:r>
      <w:r>
        <w:rPr>
          <w:rFonts w:hint="eastAsia" w:ascii="仿宋" w:hAnsi="仿宋" w:eastAsia="仿宋" w:cs="仿宋"/>
          <w:color w:val="auto"/>
          <w:sz w:val="22"/>
          <w:szCs w:val="22"/>
          <w:highlight w:val="none"/>
        </w:rPr>
        <w:t>，请供应商提前盖章留存后在资格性与有效性审查结束并通过后，</w:t>
      </w:r>
      <w:r>
        <w:rPr>
          <w:rFonts w:hint="eastAsia" w:ascii="仿宋" w:hAnsi="仿宋" w:eastAsia="仿宋" w:cs="仿宋"/>
          <w:b/>
          <w:bCs/>
          <w:color w:val="auto"/>
          <w:sz w:val="22"/>
          <w:szCs w:val="22"/>
          <w:highlight w:val="none"/>
        </w:rPr>
        <w:t>密封现场递交。</w:t>
      </w:r>
    </w:p>
    <w:p w14:paraId="79B4590F">
      <w:pPr>
        <w:keepNext w:val="0"/>
        <w:keepLines w:val="0"/>
        <w:pageBreakBefore w:val="0"/>
        <w:kinsoku/>
        <w:overflowPunct/>
        <w:topLinePunct w:val="0"/>
        <w:bidi w:val="0"/>
        <w:snapToGrid/>
        <w:spacing w:line="400" w:lineRule="exact"/>
        <w:ind w:firstLine="660" w:firstLineChars="300"/>
        <w:textAlignment w:val="auto"/>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3、最后</w:t>
      </w:r>
      <w:r>
        <w:rPr>
          <w:rFonts w:hint="eastAsia" w:ascii="仿宋" w:hAnsi="仿宋" w:eastAsia="仿宋" w:cs="仿宋"/>
          <w:bCs/>
          <w:color w:val="auto"/>
          <w:sz w:val="22"/>
          <w:szCs w:val="22"/>
          <w:highlight w:val="none"/>
        </w:rPr>
        <w:t>报价</w:t>
      </w:r>
      <w:r>
        <w:rPr>
          <w:rFonts w:hint="eastAsia" w:ascii="仿宋" w:hAnsi="仿宋" w:eastAsia="仿宋" w:cs="仿宋"/>
          <w:color w:val="auto"/>
          <w:sz w:val="22"/>
          <w:szCs w:val="22"/>
          <w:highlight w:val="none"/>
        </w:rPr>
        <w:t>应包括完成本项目的一切费用。</w:t>
      </w:r>
    </w:p>
    <w:p w14:paraId="1F327AAB">
      <w:pPr>
        <w:keepNext w:val="0"/>
        <w:keepLines w:val="0"/>
        <w:pageBreakBefore w:val="0"/>
        <w:kinsoku/>
        <w:overflowPunct/>
        <w:topLinePunct w:val="0"/>
        <w:bidi w:val="0"/>
        <w:snapToGrid/>
        <w:spacing w:line="400" w:lineRule="exact"/>
        <w:ind w:firstLine="660" w:firstLineChars="3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4、最后报价一览表应当签字（或盖章）确认或者加盖公章。</w:t>
      </w:r>
    </w:p>
    <w:p w14:paraId="6BA3B017">
      <w:pPr>
        <w:pStyle w:val="76"/>
        <w:rPr>
          <w:rFonts w:hint="eastAsia" w:ascii="仿宋" w:hAnsi="仿宋" w:eastAsia="仿宋" w:cs="仿宋"/>
          <w:color w:val="auto"/>
          <w:sz w:val="22"/>
          <w:szCs w:val="22"/>
          <w:highlight w:val="none"/>
        </w:rPr>
      </w:pPr>
    </w:p>
    <w:p w14:paraId="5F3A937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法定代表或授权代表签字：</w:t>
      </w:r>
    </w:p>
    <w:p w14:paraId="15C7F69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供应商名称</w:t>
      </w:r>
      <w:r>
        <w:rPr>
          <w:rFonts w:hint="eastAsia" w:ascii="仿宋" w:hAnsi="仿宋" w:eastAsia="仿宋" w:cs="仿宋"/>
          <w:color w:val="auto"/>
          <w:szCs w:val="21"/>
          <w:highlight w:val="none"/>
          <w:lang w:eastAsia="zh-CN"/>
        </w:rPr>
        <w:t>（加盖供应商公章）</w:t>
      </w:r>
      <w:r>
        <w:rPr>
          <w:rFonts w:hint="eastAsia" w:ascii="仿宋" w:hAnsi="仿宋" w:eastAsia="仿宋" w:cs="仿宋"/>
          <w:color w:val="auto"/>
          <w:sz w:val="21"/>
          <w:szCs w:val="21"/>
          <w:highlight w:val="none"/>
        </w:rPr>
        <w:t>：</w:t>
      </w:r>
    </w:p>
    <w:p w14:paraId="38B6AF2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color w:val="auto"/>
          <w:sz w:val="21"/>
          <w:szCs w:val="21"/>
          <w:highlight w:val="none"/>
        </w:rPr>
      </w:pPr>
      <w:r>
        <w:rPr>
          <w:rFonts w:hint="eastAsia" w:ascii="仿宋" w:hAnsi="仿宋" w:eastAsia="仿宋" w:cs="仿宋"/>
          <w:color w:val="auto"/>
          <w:szCs w:val="21"/>
          <w:highlight w:val="none"/>
        </w:rPr>
        <w:t>日 期：</w:t>
      </w:r>
      <w:r>
        <w:rPr>
          <w:rFonts w:hint="eastAsia" w:ascii="仿宋" w:hAnsi="仿宋" w:eastAsia="仿宋" w:cs="仿宋"/>
          <w:color w:val="auto"/>
          <w:szCs w:val="21"/>
          <w:highlight w:val="none"/>
          <w:u w:val="single"/>
        </w:rPr>
        <w:t>XXXX</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XX</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XX</w:t>
      </w:r>
      <w:r>
        <w:rPr>
          <w:rFonts w:hint="eastAsia" w:ascii="仿宋" w:hAnsi="仿宋" w:eastAsia="仿宋" w:cs="仿宋"/>
          <w:color w:val="auto"/>
          <w:szCs w:val="21"/>
          <w:highlight w:val="none"/>
        </w:rPr>
        <w:t>日</w:t>
      </w:r>
    </w:p>
    <w:p w14:paraId="350A4766">
      <w:pPr>
        <w:rPr>
          <w:color w:val="auto"/>
          <w:highlight w:val="none"/>
        </w:rPr>
      </w:pPr>
    </w:p>
    <w:p w14:paraId="04AD2F88">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p>
    <w:p w14:paraId="125E58B2">
      <w:pPr>
        <w:pStyle w:val="3"/>
        <w:spacing w:line="240" w:lineRule="auto"/>
        <w:jc w:val="center"/>
        <w:rPr>
          <w:rFonts w:hint="eastAsia" w:ascii="仿宋" w:hAnsi="仿宋" w:eastAsia="仿宋" w:cs="仿宋"/>
          <w:color w:val="auto"/>
          <w:sz w:val="32"/>
          <w:szCs w:val="32"/>
          <w:highlight w:val="none"/>
        </w:rPr>
      </w:pPr>
      <w:bookmarkStart w:id="39" w:name="_Toc16507"/>
      <w:r>
        <w:rPr>
          <w:rFonts w:hint="eastAsia" w:ascii="仿宋" w:hAnsi="仿宋" w:eastAsia="仿宋" w:cs="仿宋"/>
          <w:color w:val="auto"/>
          <w:sz w:val="32"/>
          <w:szCs w:val="32"/>
          <w:highlight w:val="none"/>
        </w:rPr>
        <w:t xml:space="preserve">第八章  </w:t>
      </w:r>
      <w:bookmarkEnd w:id="28"/>
      <w:bookmarkEnd w:id="38"/>
      <w:r>
        <w:rPr>
          <w:rFonts w:hint="eastAsia" w:ascii="仿宋" w:hAnsi="仿宋" w:eastAsia="仿宋" w:cs="仿宋"/>
          <w:color w:val="auto"/>
          <w:sz w:val="32"/>
          <w:szCs w:val="32"/>
          <w:highlight w:val="none"/>
        </w:rPr>
        <w:t>评审方法</w:t>
      </w:r>
      <w:bookmarkEnd w:id="39"/>
    </w:p>
    <w:p w14:paraId="3CC24B31">
      <w:pPr>
        <w:pStyle w:val="54"/>
        <w:numPr>
          <w:ilvl w:val="0"/>
          <w:numId w:val="22"/>
        </w:numPr>
        <w:spacing w:line="400" w:lineRule="exact"/>
        <w:ind w:firstLineChars="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总则</w:t>
      </w:r>
    </w:p>
    <w:p w14:paraId="6F15F51D">
      <w:pPr>
        <w:pStyle w:val="54"/>
        <w:numPr>
          <w:ilvl w:val="1"/>
          <w:numId w:val="22"/>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根据本项目特点制定本评审办法。</w:t>
      </w:r>
    </w:p>
    <w:p w14:paraId="19E06503">
      <w:pPr>
        <w:pStyle w:val="54"/>
        <w:numPr>
          <w:ilvl w:val="1"/>
          <w:numId w:val="22"/>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谈判工作由采购代理机构负责组织，具体谈判由采购代理机构依法组建的谈判小组负责。</w:t>
      </w:r>
      <w:r>
        <w:rPr>
          <w:rFonts w:hint="eastAsia" w:ascii="仿宋" w:hAnsi="仿宋" w:eastAsia="仿宋" w:cs="仿宋"/>
          <w:color w:val="auto"/>
          <w:szCs w:val="21"/>
          <w:highlight w:val="none"/>
          <w:lang w:val="en-US" w:eastAsia="zh-CN"/>
        </w:rPr>
        <w:t>评审委员会由采购人代表和有关技术方面的专家组成。</w:t>
      </w:r>
    </w:p>
    <w:p w14:paraId="67EF25BA">
      <w:pPr>
        <w:pStyle w:val="54"/>
        <w:numPr>
          <w:ilvl w:val="1"/>
          <w:numId w:val="22"/>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谈判工作应遵循公平、公正、科学及择优的原则，并以相同的谈判程序和标准对待所有的供应商。</w:t>
      </w:r>
    </w:p>
    <w:p w14:paraId="2EA8C054">
      <w:pPr>
        <w:pStyle w:val="54"/>
        <w:numPr>
          <w:ilvl w:val="1"/>
          <w:numId w:val="22"/>
        </w:numPr>
        <w:spacing w:line="400" w:lineRule="exact"/>
        <w:ind w:firstLineChars="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评审委员会按照谈判文件规定的评审方法和标准进行评审，并独立履行下列职责：</w:t>
      </w:r>
    </w:p>
    <w:p w14:paraId="622743EE">
      <w:pPr>
        <w:pStyle w:val="54"/>
        <w:numPr>
          <w:ilvl w:val="2"/>
          <w:numId w:val="22"/>
        </w:numPr>
        <w:spacing w:line="400" w:lineRule="exact"/>
        <w:ind w:left="709" w:leftChars="0" w:hanging="709" w:firstLineChars="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熟悉和理解谈判文件；</w:t>
      </w:r>
    </w:p>
    <w:p w14:paraId="2AFF41FB">
      <w:pPr>
        <w:pStyle w:val="54"/>
        <w:numPr>
          <w:ilvl w:val="2"/>
          <w:numId w:val="22"/>
        </w:numPr>
        <w:spacing w:line="400" w:lineRule="exact"/>
        <w:ind w:left="709" w:leftChars="0" w:hanging="709" w:firstLineChars="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审查供应商响应文件等是否满足谈判文件要求，并作出评价；</w:t>
      </w:r>
    </w:p>
    <w:p w14:paraId="56217605">
      <w:pPr>
        <w:pStyle w:val="54"/>
        <w:numPr>
          <w:ilvl w:val="2"/>
          <w:numId w:val="22"/>
        </w:numPr>
        <w:spacing w:line="400" w:lineRule="exact"/>
        <w:ind w:left="709" w:leftChars="0" w:hanging="709" w:firstLineChars="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根据需要要求采购单位对谈判文件作出解释；根据需要要求供应商对响应文件有关事项作出澄清、说明或者更正；</w:t>
      </w:r>
    </w:p>
    <w:p w14:paraId="7EDA011D">
      <w:pPr>
        <w:pStyle w:val="54"/>
        <w:numPr>
          <w:ilvl w:val="2"/>
          <w:numId w:val="22"/>
        </w:numPr>
        <w:spacing w:line="400" w:lineRule="exact"/>
        <w:ind w:left="709" w:leftChars="0" w:hanging="709" w:firstLineChars="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推荐成交候选供应商，或者受采购人委托确定成交供应商；</w:t>
      </w:r>
    </w:p>
    <w:p w14:paraId="4B3094B0">
      <w:pPr>
        <w:pStyle w:val="54"/>
        <w:numPr>
          <w:ilvl w:val="2"/>
          <w:numId w:val="22"/>
        </w:numPr>
        <w:spacing w:line="400" w:lineRule="exact"/>
        <w:ind w:left="709" w:leftChars="0" w:hanging="709" w:firstLineChars="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起草评审报告并进行签署；</w:t>
      </w:r>
    </w:p>
    <w:p w14:paraId="3E7DC85F">
      <w:pPr>
        <w:pStyle w:val="54"/>
        <w:numPr>
          <w:ilvl w:val="2"/>
          <w:numId w:val="22"/>
        </w:numPr>
        <w:spacing w:line="400" w:lineRule="exact"/>
        <w:ind w:left="709" w:leftChars="0" w:hanging="709" w:firstLineChars="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向采购单位或者其他监督部门报告非法干预评审工作的行为；</w:t>
      </w:r>
    </w:p>
    <w:p w14:paraId="178BABD3">
      <w:pPr>
        <w:pStyle w:val="54"/>
        <w:numPr>
          <w:ilvl w:val="2"/>
          <w:numId w:val="22"/>
        </w:numPr>
        <w:spacing w:line="400" w:lineRule="exact"/>
        <w:ind w:left="709" w:leftChars="0" w:hanging="709" w:firstLineChars="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法律、法规和规章规定的其他职责。</w:t>
      </w:r>
    </w:p>
    <w:p w14:paraId="75EEFFF8">
      <w:pPr>
        <w:pStyle w:val="54"/>
        <w:numPr>
          <w:ilvl w:val="1"/>
          <w:numId w:val="22"/>
        </w:numPr>
        <w:spacing w:line="400" w:lineRule="exact"/>
        <w:ind w:firstLineChars="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评审过程独立、保密。供应商非法干预评审过程的行为将导致其响应文件作为无效文件处理。</w:t>
      </w:r>
    </w:p>
    <w:p w14:paraId="271DCFF9">
      <w:pPr>
        <w:pStyle w:val="54"/>
        <w:numPr>
          <w:ilvl w:val="1"/>
          <w:numId w:val="22"/>
        </w:numPr>
        <w:spacing w:line="400" w:lineRule="exact"/>
        <w:ind w:firstLineChars="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评审委员会评价响应文件的实质性，对于供应商人而言，除评审委员会要求其澄清、说明或者更正而提供的资料外，仅依据响应文件本身的内容，不寻求其他外部证据。</w:t>
      </w:r>
    </w:p>
    <w:p w14:paraId="0C5CC32B">
      <w:pPr>
        <w:pStyle w:val="54"/>
        <w:numPr>
          <w:ilvl w:val="0"/>
          <w:numId w:val="22"/>
        </w:numPr>
        <w:spacing w:line="400" w:lineRule="exact"/>
        <w:ind w:firstLineChars="0"/>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eastAsia="zh-CN"/>
        </w:rPr>
        <w:t>评审方法</w:t>
      </w:r>
    </w:p>
    <w:p w14:paraId="36ACD3B4">
      <w:pPr>
        <w:pStyle w:val="54"/>
        <w:numPr>
          <w:ilvl w:val="1"/>
          <w:numId w:val="22"/>
        </w:numPr>
        <w:spacing w:line="400" w:lineRule="exact"/>
        <w:ind w:firstLineChars="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本项目评审方法为：最低评标价法。</w:t>
      </w:r>
    </w:p>
    <w:p w14:paraId="33485EF9">
      <w:pPr>
        <w:pStyle w:val="54"/>
        <w:numPr>
          <w:ilvl w:val="1"/>
          <w:numId w:val="22"/>
        </w:numPr>
        <w:spacing w:line="400" w:lineRule="exact"/>
        <w:ind w:firstLineChars="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最低评标价法是指响应文件满足竞争性谈判文件全部实质性要求且报价最低的供应商为成交供应商的评审方法。最低报价相同的，以抽签方式确定成交供应商；抽签顺序为供应商签到顺序。</w:t>
      </w:r>
    </w:p>
    <w:p w14:paraId="1912B7DF">
      <w:pPr>
        <w:pStyle w:val="54"/>
        <w:numPr>
          <w:ilvl w:val="0"/>
          <w:numId w:val="22"/>
        </w:numPr>
        <w:spacing w:line="400" w:lineRule="exact"/>
        <w:ind w:firstLineChars="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评审程序</w:t>
      </w:r>
    </w:p>
    <w:p w14:paraId="5015AC23">
      <w:pPr>
        <w:pStyle w:val="54"/>
        <w:numPr>
          <w:ilvl w:val="1"/>
          <w:numId w:val="22"/>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审查谈判文件和停止评审。</w:t>
      </w:r>
    </w:p>
    <w:p w14:paraId="124FCA40">
      <w:pPr>
        <w:pStyle w:val="65"/>
        <w:keepNext w:val="0"/>
        <w:keepLines w:val="0"/>
        <w:pageBreakBefore w:val="0"/>
        <w:widowControl w:val="0"/>
        <w:numPr>
          <w:ilvl w:val="2"/>
          <w:numId w:val="22"/>
        </w:numPr>
        <w:kinsoku/>
        <w:wordWrap/>
        <w:overflowPunct/>
        <w:topLinePunct w:val="0"/>
        <w:autoSpaceDE/>
        <w:autoSpaceDN/>
        <w:bidi w:val="0"/>
        <w:adjustRightInd/>
        <w:snapToGrid/>
        <w:spacing w:line="400" w:lineRule="exact"/>
        <w:ind w:left="624" w:hanging="624"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谈判小组正式评审前，应当对谈判文件进行熟悉和理解，内容主要包括谈判文件中供应商资格条件要求、采购项目技术、服务和商务要求、谈判办法和标准以及采购合同主要条款等。</w:t>
      </w:r>
    </w:p>
    <w:p w14:paraId="0895779E">
      <w:pPr>
        <w:pStyle w:val="54"/>
        <w:numPr>
          <w:ilvl w:val="2"/>
          <w:numId w:val="22"/>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本谈判文件有下列情形之一的，谈判小组应当停止评审：</w:t>
      </w:r>
    </w:p>
    <w:p w14:paraId="466E3105">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（1）谈判文件的规定存在歧义、重大缺陷，导致评审无法进行的；</w:t>
      </w:r>
    </w:p>
    <w:p w14:paraId="10A3C149">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（2）谈判文件明显以不合理条件对供应商实行差别待遇或者歧视待遇的；</w:t>
      </w:r>
    </w:p>
    <w:p w14:paraId="7AA02384">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）谈判文件载明的成交原则不合法的；</w:t>
      </w:r>
    </w:p>
    <w:p w14:paraId="036642FE">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）谈判文件有违反国家其他有关强制性规定的情形。</w:t>
      </w:r>
    </w:p>
    <w:p w14:paraId="7BD3C966">
      <w:pPr>
        <w:pStyle w:val="65"/>
        <w:keepNext w:val="0"/>
        <w:keepLines w:val="0"/>
        <w:pageBreakBefore w:val="0"/>
        <w:widowControl w:val="0"/>
        <w:numPr>
          <w:ilvl w:val="2"/>
          <w:numId w:val="22"/>
        </w:numPr>
        <w:kinsoku/>
        <w:wordWrap/>
        <w:overflowPunct/>
        <w:topLinePunct w:val="0"/>
        <w:autoSpaceDE/>
        <w:autoSpaceDN/>
        <w:bidi w:val="0"/>
        <w:adjustRightInd/>
        <w:snapToGrid/>
        <w:spacing w:line="400" w:lineRule="exact"/>
        <w:ind w:left="624" w:hanging="624"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出现本条3.1.2规定应当停止评审情形的，谈判小组应当向采购组织单位书面书面说明情况。除</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.1.2规定的情形外，谈判小组不得以任何方式和理由停止评审。</w:t>
      </w:r>
    </w:p>
    <w:p w14:paraId="7725ED52">
      <w:pPr>
        <w:pStyle w:val="54"/>
        <w:numPr>
          <w:ilvl w:val="1"/>
          <w:numId w:val="22"/>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资格性审查</w:t>
      </w:r>
    </w:p>
    <w:p w14:paraId="160689D2">
      <w:pPr>
        <w:pStyle w:val="65"/>
        <w:keepNext w:val="0"/>
        <w:keepLines w:val="0"/>
        <w:pageBreakBefore w:val="0"/>
        <w:widowControl w:val="0"/>
        <w:numPr>
          <w:ilvl w:val="2"/>
          <w:numId w:val="22"/>
        </w:numPr>
        <w:kinsoku/>
        <w:wordWrap/>
        <w:overflowPunct/>
        <w:topLinePunct w:val="0"/>
        <w:autoSpaceDE/>
        <w:autoSpaceDN/>
        <w:bidi w:val="0"/>
        <w:adjustRightInd/>
        <w:snapToGrid/>
        <w:spacing w:line="400" w:lineRule="exact"/>
        <w:ind w:left="624" w:hanging="624"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谈判小组依据法律法规和采购文件的规定，审查供应商是否具备谈判资格。</w:t>
      </w:r>
    </w:p>
    <w:p w14:paraId="0F7FE572">
      <w:pPr>
        <w:pStyle w:val="65"/>
        <w:keepNext w:val="0"/>
        <w:keepLines w:val="0"/>
        <w:pageBreakBefore w:val="0"/>
        <w:widowControl w:val="0"/>
        <w:numPr>
          <w:ilvl w:val="2"/>
          <w:numId w:val="22"/>
        </w:numPr>
        <w:kinsoku/>
        <w:wordWrap/>
        <w:overflowPunct/>
        <w:topLinePunct w:val="0"/>
        <w:autoSpaceDE/>
        <w:autoSpaceDN/>
        <w:bidi w:val="0"/>
        <w:adjustRightInd/>
        <w:snapToGrid/>
        <w:spacing w:line="400" w:lineRule="exact"/>
        <w:ind w:left="624" w:hanging="624"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资格审查结束后，谈判小组编制生成资格审查报告，向参加资格审查的供应商发出该供应商的资格审查结果，未通过资格审查的，应当一并告知理由。</w:t>
      </w:r>
    </w:p>
    <w:p w14:paraId="11A82FC4">
      <w:pPr>
        <w:pStyle w:val="54"/>
        <w:numPr>
          <w:ilvl w:val="1"/>
          <w:numId w:val="22"/>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符合性审查</w:t>
      </w:r>
    </w:p>
    <w:p w14:paraId="492035B5">
      <w:pPr>
        <w:pStyle w:val="65"/>
        <w:keepNext w:val="0"/>
        <w:keepLines w:val="0"/>
        <w:pageBreakBefore w:val="0"/>
        <w:widowControl w:val="0"/>
        <w:numPr>
          <w:ilvl w:val="2"/>
          <w:numId w:val="22"/>
        </w:numPr>
        <w:kinsoku/>
        <w:wordWrap/>
        <w:overflowPunct/>
        <w:topLinePunct w:val="0"/>
        <w:autoSpaceDE/>
        <w:autoSpaceDN/>
        <w:bidi w:val="0"/>
        <w:adjustRightInd/>
        <w:snapToGrid/>
        <w:spacing w:line="400" w:lineRule="exact"/>
        <w:ind w:left="624" w:hanging="624"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谈判开始前，谈判小组对供应商首次提交的响应文件（包括报价）进行审查，审查内容为谈判文件不允许实质性变动的实质性要求，不符合实质性要求或应当作无效响应处理的，应当作无效响应处理。</w:t>
      </w:r>
    </w:p>
    <w:p w14:paraId="1732CA59">
      <w:pPr>
        <w:pStyle w:val="54"/>
        <w:keepNext w:val="0"/>
        <w:keepLines w:val="0"/>
        <w:pageBreakBefore w:val="0"/>
        <w:widowControl w:val="0"/>
        <w:numPr>
          <w:ilvl w:val="2"/>
          <w:numId w:val="22"/>
        </w:numPr>
        <w:kinsoku/>
        <w:wordWrap/>
        <w:overflowPunct/>
        <w:topLinePunct w:val="0"/>
        <w:autoSpaceDE/>
        <w:autoSpaceDN/>
        <w:bidi w:val="0"/>
        <w:adjustRightInd/>
        <w:snapToGrid/>
        <w:spacing w:line="380" w:lineRule="exact"/>
        <w:ind w:firstLineChars="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响应文件报价出现前后不一致的，除谈判文件另有规定外，按照下列规定修正</w:t>
      </w:r>
      <w:r>
        <w:rPr>
          <w:rFonts w:hint="eastAsia" w:ascii="仿宋" w:hAnsi="仿宋" w:eastAsia="仿宋" w:cs="仿宋"/>
          <w:color w:val="auto"/>
          <w:szCs w:val="21"/>
          <w:highlight w:val="none"/>
        </w:rPr>
        <w:t>：</w:t>
      </w:r>
    </w:p>
    <w:p w14:paraId="045D7328">
      <w:pPr>
        <w:pStyle w:val="54"/>
        <w:keepNext w:val="0"/>
        <w:keepLines w:val="0"/>
        <w:pageBreakBefore w:val="0"/>
        <w:widowControl w:val="0"/>
        <w:numPr>
          <w:ilvl w:val="0"/>
          <w:numId w:val="23"/>
        </w:numPr>
        <w:kinsoku/>
        <w:wordWrap/>
        <w:overflowPunct/>
        <w:topLinePunct w:val="0"/>
        <w:autoSpaceDE/>
        <w:autoSpaceDN/>
        <w:bidi w:val="0"/>
        <w:adjustRightInd/>
        <w:snapToGrid/>
        <w:spacing w:line="380" w:lineRule="exact"/>
        <w:ind w:left="638" w:leftChars="0" w:hanging="638" w:hangingChars="304"/>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文件的大写金额和小写金额不一致的，以大写金额为准，但大写金额出现文字错误，导致金额无法判断的除外；</w:t>
      </w:r>
    </w:p>
    <w:p w14:paraId="67E559B0">
      <w:pPr>
        <w:pStyle w:val="54"/>
        <w:keepNext w:val="0"/>
        <w:keepLines w:val="0"/>
        <w:pageBreakBefore w:val="0"/>
        <w:widowControl w:val="0"/>
        <w:numPr>
          <w:ilvl w:val="0"/>
          <w:numId w:val="23"/>
        </w:numPr>
        <w:kinsoku/>
        <w:wordWrap/>
        <w:overflowPunct/>
        <w:topLinePunct w:val="0"/>
        <w:autoSpaceDE/>
        <w:autoSpaceDN/>
        <w:bidi w:val="0"/>
        <w:adjustRightInd/>
        <w:snapToGrid/>
        <w:spacing w:line="380" w:lineRule="exact"/>
        <w:ind w:left="638" w:leftChars="0" w:hanging="638" w:hangingChars="304"/>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总价金额与按单价汇总金额不一致的，以单价汇总金额计算结果为准，但是单价金额出现计算错误、明显人为工作失误的除外；</w:t>
      </w:r>
    </w:p>
    <w:p w14:paraId="2C129029">
      <w:pPr>
        <w:pStyle w:val="54"/>
        <w:keepNext w:val="0"/>
        <w:keepLines w:val="0"/>
        <w:pageBreakBefore w:val="0"/>
        <w:widowControl w:val="0"/>
        <w:numPr>
          <w:ilvl w:val="0"/>
          <w:numId w:val="23"/>
        </w:numPr>
        <w:kinsoku/>
        <w:wordWrap/>
        <w:overflowPunct/>
        <w:topLinePunct w:val="0"/>
        <w:autoSpaceDE/>
        <w:autoSpaceDN/>
        <w:bidi w:val="0"/>
        <w:adjustRightInd/>
        <w:snapToGrid/>
        <w:spacing w:line="380" w:lineRule="exact"/>
        <w:ind w:left="638" w:leftChars="0" w:hanging="638" w:hangingChars="304"/>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单价金额小数点有明显错位的，应以总价为准，并修改单价；</w:t>
      </w:r>
    </w:p>
    <w:p w14:paraId="23D736D6">
      <w:pPr>
        <w:pStyle w:val="54"/>
        <w:keepNext w:val="0"/>
        <w:keepLines w:val="0"/>
        <w:pageBreakBefore w:val="0"/>
        <w:widowControl w:val="0"/>
        <w:numPr>
          <w:ilvl w:val="0"/>
          <w:numId w:val="23"/>
        </w:numPr>
        <w:kinsoku/>
        <w:wordWrap/>
        <w:overflowPunct/>
        <w:topLinePunct w:val="0"/>
        <w:autoSpaceDE/>
        <w:autoSpaceDN/>
        <w:bidi w:val="0"/>
        <w:adjustRightInd/>
        <w:snapToGrid/>
        <w:spacing w:line="380" w:lineRule="exact"/>
        <w:ind w:left="638" w:leftChars="0" w:hanging="638" w:hangingChars="304"/>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对不同语言文本</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文件的解释发生异议的，以中文文本为准。</w:t>
      </w:r>
    </w:p>
    <w:p w14:paraId="7D00D92B">
      <w:pPr>
        <w:pStyle w:val="54"/>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出现本条第（</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）项规定情形，单价汇总金额比总价金额高，且超过采购预算或者本项目最高限价的，供应商</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文件应作为无效</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处理；单价汇总金额比总价金额高，但未超过采购预算或者本项目最高限价的，应以单价汇总金额作为价格</w:t>
      </w:r>
      <w:r>
        <w:rPr>
          <w:rFonts w:hint="eastAsia" w:ascii="仿宋" w:hAnsi="仿宋" w:eastAsia="仿宋" w:cs="仿宋"/>
          <w:color w:val="auto"/>
          <w:szCs w:val="21"/>
          <w:highlight w:val="none"/>
          <w:lang w:val="en-US" w:eastAsia="zh-CN"/>
        </w:rPr>
        <w:t>评审</w:t>
      </w:r>
      <w:r>
        <w:rPr>
          <w:rFonts w:hint="eastAsia" w:ascii="仿宋" w:hAnsi="仿宋" w:eastAsia="仿宋" w:cs="仿宋"/>
          <w:color w:val="auto"/>
          <w:szCs w:val="21"/>
          <w:highlight w:val="none"/>
        </w:rPr>
        <w:t>依据。</w:t>
      </w:r>
    </w:p>
    <w:p w14:paraId="1DC47BF9">
      <w:pPr>
        <w:pStyle w:val="54"/>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修正后的报价经供应商确认后产生约束力，供应商不确认的，其响应文件作为无效处理。供应商确认采取书面方式并经供应商授权代表签字。谈判小组不得未经书面形式要求供应商确认，直接将供应商响应文件作为无效处理。</w:t>
      </w:r>
    </w:p>
    <w:p w14:paraId="07B93F04">
      <w:pPr>
        <w:pStyle w:val="54"/>
        <w:keepNext w:val="0"/>
        <w:keepLines w:val="0"/>
        <w:pageBreakBefore w:val="0"/>
        <w:widowControl w:val="0"/>
        <w:numPr>
          <w:ilvl w:val="2"/>
          <w:numId w:val="22"/>
        </w:numPr>
        <w:kinsoku/>
        <w:wordWrap/>
        <w:overflowPunct/>
        <w:topLinePunct w:val="0"/>
        <w:autoSpaceDE/>
        <w:autoSpaceDN/>
        <w:bidi w:val="0"/>
        <w:adjustRightInd/>
        <w:snapToGrid/>
        <w:spacing w:line="380" w:lineRule="exact"/>
        <w:ind w:firstLineChars="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谈判小组对所有响应文件进行审查后，确定参加谈判的供应商名单。</w:t>
      </w:r>
    </w:p>
    <w:p w14:paraId="50981CD1">
      <w:pPr>
        <w:pStyle w:val="54"/>
        <w:numPr>
          <w:ilvl w:val="1"/>
          <w:numId w:val="22"/>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谈判。</w:t>
      </w:r>
    </w:p>
    <w:p w14:paraId="7ED2E925">
      <w:pPr>
        <w:pStyle w:val="65"/>
        <w:keepNext w:val="0"/>
        <w:keepLines w:val="0"/>
        <w:pageBreakBefore w:val="0"/>
        <w:widowControl w:val="0"/>
        <w:numPr>
          <w:ilvl w:val="2"/>
          <w:numId w:val="22"/>
        </w:numPr>
        <w:kinsoku/>
        <w:wordWrap/>
        <w:overflowPunct/>
        <w:topLinePunct w:val="0"/>
        <w:autoSpaceDE/>
        <w:autoSpaceDN/>
        <w:bidi w:val="0"/>
        <w:adjustRightInd/>
        <w:snapToGrid/>
        <w:spacing w:line="400" w:lineRule="exact"/>
        <w:ind w:left="624" w:hanging="624"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谈判小组通过交易系统与供应商分别进行一轮或多轮谈判，并给予所有参加谈判的供应商平等的谈判机会。谈判顺序</w:t>
      </w:r>
      <w:r>
        <w:rPr>
          <w:rFonts w:hint="eastAsia" w:ascii="仿宋" w:hAnsi="仿宋" w:eastAsia="仿宋" w:cs="仿宋"/>
          <w:color w:val="auto"/>
          <w:highlight w:val="none"/>
          <w:lang w:eastAsia="zh-CN"/>
        </w:rPr>
        <w:t>以供应商签到顺序为准</w:t>
      </w:r>
      <w:r>
        <w:rPr>
          <w:rFonts w:hint="eastAsia" w:ascii="仿宋" w:hAnsi="仿宋" w:eastAsia="仿宋" w:cs="仿宋"/>
          <w:color w:val="auto"/>
          <w:highlight w:val="none"/>
        </w:rPr>
        <w:t>。谈判过程中，谈判小组可以根据谈判情况调整谈判轮次。</w:t>
      </w:r>
    </w:p>
    <w:p w14:paraId="72EC6905">
      <w:pPr>
        <w:pStyle w:val="65"/>
        <w:keepNext w:val="0"/>
        <w:keepLines w:val="0"/>
        <w:pageBreakBefore w:val="0"/>
        <w:widowControl w:val="0"/>
        <w:numPr>
          <w:ilvl w:val="2"/>
          <w:numId w:val="22"/>
        </w:numPr>
        <w:kinsoku/>
        <w:wordWrap/>
        <w:overflowPunct/>
        <w:topLinePunct w:val="0"/>
        <w:autoSpaceDE/>
        <w:autoSpaceDN/>
        <w:bidi w:val="0"/>
        <w:adjustRightInd/>
        <w:snapToGrid/>
        <w:spacing w:line="400" w:lineRule="exact"/>
        <w:ind w:left="624" w:hanging="624"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每轮谈判开始前，谈判小组应根据谈判文件的规定，并结合各供应商的响应文件拟定谈判内容。</w:t>
      </w:r>
    </w:p>
    <w:p w14:paraId="442967AD">
      <w:pPr>
        <w:pStyle w:val="65"/>
        <w:keepNext w:val="0"/>
        <w:keepLines w:val="0"/>
        <w:pageBreakBefore w:val="0"/>
        <w:widowControl w:val="0"/>
        <w:numPr>
          <w:ilvl w:val="2"/>
          <w:numId w:val="22"/>
        </w:numPr>
        <w:kinsoku/>
        <w:wordWrap/>
        <w:overflowPunct/>
        <w:topLinePunct w:val="0"/>
        <w:autoSpaceDE/>
        <w:autoSpaceDN/>
        <w:bidi w:val="0"/>
        <w:adjustRightInd/>
        <w:snapToGrid/>
        <w:spacing w:line="400" w:lineRule="exact"/>
        <w:ind w:left="624" w:hanging="624"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在谈判过程中，谈判小组在获得采购人代表确认的前提下，可以根据谈判文件</w:t>
      </w:r>
      <w:r>
        <w:rPr>
          <w:rFonts w:hint="eastAsia" w:ascii="仿宋" w:hAnsi="仿宋" w:eastAsia="仿宋" w:cs="仿宋"/>
          <w:color w:val="auto"/>
          <w:highlight w:val="none"/>
          <w:lang w:val="en-US" w:eastAsia="zh-CN"/>
        </w:rPr>
        <w:t>第五章、第九章</w:t>
      </w:r>
      <w:r>
        <w:rPr>
          <w:rFonts w:hint="eastAsia" w:ascii="仿宋" w:hAnsi="仿宋" w:eastAsia="仿宋" w:cs="仿宋"/>
          <w:color w:val="auto"/>
          <w:highlight w:val="none"/>
        </w:rPr>
        <w:t>规定的可实质性变动内容和谈判情况实质性变动谈判文件的技术、服务要求以及合同草案条款，但不得变动谈判文件中的其他内容。</w:t>
      </w:r>
    </w:p>
    <w:p w14:paraId="2A4FF133">
      <w:pPr>
        <w:pStyle w:val="65"/>
        <w:keepNext w:val="0"/>
        <w:keepLines w:val="0"/>
        <w:pageBreakBefore w:val="0"/>
        <w:widowControl w:val="0"/>
        <w:numPr>
          <w:ilvl w:val="2"/>
          <w:numId w:val="22"/>
        </w:numPr>
        <w:kinsoku/>
        <w:wordWrap/>
        <w:overflowPunct/>
        <w:topLinePunct w:val="0"/>
        <w:autoSpaceDE/>
        <w:autoSpaceDN/>
        <w:bidi w:val="0"/>
        <w:adjustRightInd/>
        <w:snapToGrid/>
        <w:spacing w:line="400" w:lineRule="exact"/>
        <w:ind w:left="624" w:hanging="624"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对谈判文件作出的实质性变动是谈判文件的有效组成部分，谈判小组应当及时以书面形式同时通知所有参加谈判的供应商。</w:t>
      </w:r>
    </w:p>
    <w:p w14:paraId="72ACBAA6">
      <w:pPr>
        <w:pStyle w:val="65"/>
        <w:keepNext w:val="0"/>
        <w:keepLines w:val="0"/>
        <w:pageBreakBefore w:val="0"/>
        <w:widowControl w:val="0"/>
        <w:numPr>
          <w:ilvl w:val="2"/>
          <w:numId w:val="22"/>
        </w:numPr>
        <w:kinsoku/>
        <w:wordWrap/>
        <w:overflowPunct/>
        <w:topLinePunct w:val="0"/>
        <w:autoSpaceDE/>
        <w:autoSpaceDN/>
        <w:bidi w:val="0"/>
        <w:adjustRightInd/>
        <w:snapToGrid/>
        <w:spacing w:line="400" w:lineRule="exact"/>
        <w:ind w:left="624" w:hanging="624"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谈判过程中，谈判文件变动的，供应商应当按照谈判文件的变动情况和谈判小组的要求就谈判文件变动部分提交书面响应材料，并作为响应文件的组成部分。</w:t>
      </w:r>
    </w:p>
    <w:p w14:paraId="03FB75F8">
      <w:pPr>
        <w:pStyle w:val="54"/>
        <w:numPr>
          <w:ilvl w:val="2"/>
          <w:numId w:val="22"/>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经最终谈判后，响应文件仍有下列情况之一的，应按照无效响应文件处理：</w:t>
      </w:r>
    </w:p>
    <w:p w14:paraId="550AC6E0">
      <w:pPr>
        <w:pStyle w:val="54"/>
        <w:numPr>
          <w:ilvl w:val="0"/>
          <w:numId w:val="24"/>
        </w:numPr>
        <w:spacing w:line="400" w:lineRule="exact"/>
        <w:ind w:left="0" w:leftChars="0" w:firstLine="0"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响应文件仍不能实质响应谈判文件的实质性要求的；</w:t>
      </w:r>
    </w:p>
    <w:p w14:paraId="6C85E1A5">
      <w:pPr>
        <w:pStyle w:val="54"/>
        <w:numPr>
          <w:ilvl w:val="0"/>
          <w:numId w:val="24"/>
        </w:numPr>
        <w:spacing w:line="400" w:lineRule="exact"/>
        <w:ind w:left="0" w:leftChars="0" w:firstLine="0"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响应文件中仍有谈判文件规定的其他无效响应情形的。</w:t>
      </w:r>
    </w:p>
    <w:p w14:paraId="4331A5D6">
      <w:pPr>
        <w:pStyle w:val="65"/>
        <w:keepNext w:val="0"/>
        <w:keepLines w:val="0"/>
        <w:pageBreakBefore w:val="0"/>
        <w:widowControl w:val="0"/>
        <w:numPr>
          <w:ilvl w:val="2"/>
          <w:numId w:val="22"/>
        </w:numPr>
        <w:kinsoku/>
        <w:wordWrap/>
        <w:overflowPunct/>
        <w:topLinePunct w:val="0"/>
        <w:autoSpaceDE/>
        <w:autoSpaceDN/>
        <w:bidi w:val="0"/>
        <w:adjustRightInd/>
        <w:snapToGrid/>
        <w:spacing w:line="400" w:lineRule="exact"/>
        <w:ind w:left="624" w:hanging="624"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谈判小组对供应商在谈判、评审过程中的书面交换材料，未按要求加盖</w:t>
      </w:r>
      <w:r>
        <w:rPr>
          <w:rFonts w:hint="eastAsia" w:ascii="仿宋" w:hAnsi="仿宋" w:eastAsia="仿宋" w:cs="仿宋"/>
          <w:color w:val="auto"/>
          <w:highlight w:val="none"/>
          <w:lang w:eastAsia="zh-CN"/>
        </w:rPr>
        <w:t>供应商公章</w:t>
      </w:r>
      <w:r>
        <w:rPr>
          <w:rFonts w:hint="eastAsia" w:ascii="仿宋" w:hAnsi="仿宋" w:eastAsia="仿宋" w:cs="仿宋"/>
          <w:color w:val="auto"/>
          <w:highlight w:val="none"/>
        </w:rPr>
        <w:t>或签字的，视同未提交书面交换材料。</w:t>
      </w:r>
    </w:p>
    <w:p w14:paraId="1BD67884">
      <w:pPr>
        <w:pStyle w:val="65"/>
        <w:keepNext w:val="0"/>
        <w:keepLines w:val="0"/>
        <w:pageBreakBefore w:val="0"/>
        <w:widowControl w:val="0"/>
        <w:numPr>
          <w:ilvl w:val="2"/>
          <w:numId w:val="22"/>
        </w:numPr>
        <w:kinsoku/>
        <w:wordWrap/>
        <w:overflowPunct/>
        <w:topLinePunct w:val="0"/>
        <w:autoSpaceDE/>
        <w:autoSpaceDN/>
        <w:bidi w:val="0"/>
        <w:adjustRightInd/>
        <w:snapToGrid/>
        <w:spacing w:line="400" w:lineRule="exact"/>
        <w:ind w:left="624" w:hanging="624"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谈判小组在最终谈判后，对所有响应文件的有效性、完整性和响应程度进行审查后，确定最后报价的供应商名单。</w:t>
      </w:r>
    </w:p>
    <w:p w14:paraId="45E40B0C">
      <w:pPr>
        <w:pStyle w:val="54"/>
        <w:numPr>
          <w:ilvl w:val="2"/>
          <w:numId w:val="22"/>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谈判过程中，谈判的任何一方不得透露与谈判有关的其他供应商的技术资料、价格和其他信息。</w:t>
      </w:r>
    </w:p>
    <w:p w14:paraId="17474DEA">
      <w:pPr>
        <w:pStyle w:val="54"/>
        <w:numPr>
          <w:ilvl w:val="2"/>
          <w:numId w:val="22"/>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谈判过程中，谈判小组发现或者知晓供应商存在违法行为的，应当在谈判情况记录表中予以注明，并向</w:t>
      </w:r>
      <w:r>
        <w:rPr>
          <w:rFonts w:hint="eastAsia" w:ascii="仿宋" w:hAnsi="仿宋" w:eastAsia="仿宋" w:cs="仿宋"/>
          <w:color w:val="auto"/>
          <w:szCs w:val="21"/>
          <w:highlight w:val="none"/>
          <w:lang w:eastAsia="zh-CN"/>
        </w:rPr>
        <w:t>相关监管</w:t>
      </w:r>
      <w:r>
        <w:rPr>
          <w:rFonts w:hint="eastAsia" w:ascii="仿宋" w:hAnsi="仿宋" w:eastAsia="仿宋" w:cs="仿宋"/>
          <w:color w:val="auto"/>
          <w:szCs w:val="21"/>
          <w:highlight w:val="none"/>
        </w:rPr>
        <w:t>部门报告，依法应将该供应商响应文件作无效处理的，应当作无效处理。</w:t>
      </w:r>
    </w:p>
    <w:p w14:paraId="788F680E">
      <w:pPr>
        <w:pStyle w:val="54"/>
        <w:numPr>
          <w:ilvl w:val="1"/>
          <w:numId w:val="22"/>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最后报价</w:t>
      </w:r>
    </w:p>
    <w:p w14:paraId="6013D87F">
      <w:pPr>
        <w:pStyle w:val="65"/>
        <w:keepNext w:val="0"/>
        <w:keepLines w:val="0"/>
        <w:pageBreakBefore w:val="0"/>
        <w:widowControl w:val="0"/>
        <w:numPr>
          <w:ilvl w:val="2"/>
          <w:numId w:val="22"/>
        </w:numPr>
        <w:kinsoku/>
        <w:wordWrap/>
        <w:overflowPunct/>
        <w:topLinePunct w:val="0"/>
        <w:autoSpaceDE/>
        <w:autoSpaceDN/>
        <w:bidi w:val="0"/>
        <w:adjustRightInd/>
        <w:snapToGrid/>
        <w:spacing w:line="400" w:lineRule="exact"/>
        <w:ind w:left="624" w:hanging="624"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谈判结束后，谈判小组应当要求所有实质性响应的供应商在谈判小组要求时间内提交最后报价，提交最后报价的供应商不得少于3家。</w:t>
      </w:r>
    </w:p>
    <w:p w14:paraId="7E2B928C">
      <w:pPr>
        <w:pStyle w:val="65"/>
        <w:keepNext w:val="0"/>
        <w:keepLines w:val="0"/>
        <w:pageBreakBefore w:val="0"/>
        <w:widowControl w:val="0"/>
        <w:numPr>
          <w:ilvl w:val="2"/>
          <w:numId w:val="22"/>
        </w:numPr>
        <w:kinsoku/>
        <w:wordWrap/>
        <w:overflowPunct/>
        <w:topLinePunct w:val="0"/>
        <w:autoSpaceDE/>
        <w:autoSpaceDN/>
        <w:bidi w:val="0"/>
        <w:adjustRightInd/>
        <w:snapToGrid/>
        <w:spacing w:line="400" w:lineRule="exact"/>
        <w:ind w:left="624" w:hanging="624"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供应商在未提高响应文件中承诺的产品及其服务质量的情况下，其最后报价不得高于对该项目之前的报价，否则，谈判小组应当对其响应文件按无效处理，并书面告知供应商，说明理由。</w:t>
      </w:r>
    </w:p>
    <w:p w14:paraId="537309DD">
      <w:pPr>
        <w:pStyle w:val="65"/>
        <w:keepNext w:val="0"/>
        <w:keepLines w:val="0"/>
        <w:pageBreakBefore w:val="0"/>
        <w:widowControl w:val="0"/>
        <w:numPr>
          <w:ilvl w:val="2"/>
          <w:numId w:val="22"/>
        </w:numPr>
        <w:kinsoku/>
        <w:wordWrap/>
        <w:overflowPunct/>
        <w:topLinePunct w:val="0"/>
        <w:autoSpaceDE/>
        <w:autoSpaceDN/>
        <w:bidi w:val="0"/>
        <w:adjustRightInd/>
        <w:snapToGrid/>
        <w:spacing w:line="400" w:lineRule="exact"/>
        <w:ind w:left="624" w:hanging="624"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供应商最后报价属于明显低价不正当竞争的，谈判小组应按照“须知前附表”规定处理。</w:t>
      </w:r>
    </w:p>
    <w:p w14:paraId="65AC0C3C">
      <w:pPr>
        <w:pStyle w:val="65"/>
        <w:keepNext w:val="0"/>
        <w:keepLines w:val="0"/>
        <w:pageBreakBefore w:val="0"/>
        <w:widowControl w:val="0"/>
        <w:numPr>
          <w:ilvl w:val="2"/>
          <w:numId w:val="22"/>
        </w:numPr>
        <w:kinsoku/>
        <w:wordWrap/>
        <w:overflowPunct/>
        <w:topLinePunct w:val="0"/>
        <w:autoSpaceDE/>
        <w:autoSpaceDN/>
        <w:bidi w:val="0"/>
        <w:adjustRightInd/>
        <w:snapToGrid/>
        <w:spacing w:line="400" w:lineRule="exact"/>
        <w:ind w:left="624" w:hanging="624"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参与最后报价的供应商按谈判小组要求进行最后报价。最后报价超过谈判文件规定的采购预算（或最高限价）或者相关报价不符合谈判文件其他的报价规定的，应按照无效响应文件处理。</w:t>
      </w:r>
    </w:p>
    <w:p w14:paraId="304C43B9">
      <w:pPr>
        <w:pStyle w:val="54"/>
        <w:numPr>
          <w:ilvl w:val="2"/>
          <w:numId w:val="22"/>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供应商最后报价应当采取书面形式报价，最后报价是供应商响应文件的有效组成部分。</w:t>
      </w:r>
    </w:p>
    <w:p w14:paraId="771FE21C">
      <w:pPr>
        <w:pStyle w:val="54"/>
        <w:numPr>
          <w:ilvl w:val="1"/>
          <w:numId w:val="22"/>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澄清、说明、更正</w:t>
      </w:r>
    </w:p>
    <w:p w14:paraId="015A2A36">
      <w:pPr>
        <w:pStyle w:val="65"/>
        <w:keepNext w:val="0"/>
        <w:keepLines w:val="0"/>
        <w:pageBreakBefore w:val="0"/>
        <w:widowControl w:val="0"/>
        <w:numPr>
          <w:ilvl w:val="2"/>
          <w:numId w:val="22"/>
        </w:numPr>
        <w:kinsoku/>
        <w:wordWrap/>
        <w:overflowPunct/>
        <w:topLinePunct w:val="0"/>
        <w:autoSpaceDE/>
        <w:autoSpaceDN/>
        <w:bidi w:val="0"/>
        <w:adjustRightInd/>
        <w:snapToGrid/>
        <w:spacing w:line="400" w:lineRule="exact"/>
        <w:ind w:left="624" w:hanging="624"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6592338">
      <w:pPr>
        <w:pStyle w:val="54"/>
        <w:numPr>
          <w:ilvl w:val="2"/>
          <w:numId w:val="22"/>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谈判小组要求供应商澄清、说明或者更正响应文件应当以书面形式作出，并加盖供应商的</w:t>
      </w:r>
      <w:r>
        <w:rPr>
          <w:rFonts w:hint="eastAsia" w:ascii="仿宋" w:hAnsi="仿宋" w:eastAsia="仿宋" w:cs="仿宋"/>
          <w:color w:val="auto"/>
          <w:szCs w:val="21"/>
          <w:highlight w:val="none"/>
          <w:lang w:eastAsia="zh-CN"/>
        </w:rPr>
        <w:t>公章</w:t>
      </w:r>
      <w:r>
        <w:rPr>
          <w:rFonts w:hint="eastAsia" w:ascii="仿宋" w:hAnsi="仿宋" w:eastAsia="仿宋" w:cs="仿宋"/>
          <w:color w:val="auto"/>
          <w:szCs w:val="21"/>
          <w:highlight w:val="none"/>
        </w:rPr>
        <w:t>。</w:t>
      </w:r>
    </w:p>
    <w:p w14:paraId="089259C5">
      <w:pPr>
        <w:pStyle w:val="54"/>
        <w:numPr>
          <w:ilvl w:val="1"/>
          <w:numId w:val="22"/>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谈判小组复核。供应商最后报价结束后，谈判小组应当进行评审复核，对拟推荐为成交候选供应商的、报价最低的、供应商响应文件作无效处理的重点复核。</w:t>
      </w:r>
    </w:p>
    <w:p w14:paraId="099506BC">
      <w:pPr>
        <w:pStyle w:val="54"/>
        <w:numPr>
          <w:ilvl w:val="1"/>
          <w:numId w:val="22"/>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采购组织单位现场复核评审结果</w:t>
      </w:r>
    </w:p>
    <w:p w14:paraId="5F2BF97D">
      <w:pPr>
        <w:pStyle w:val="65"/>
        <w:keepNext w:val="0"/>
        <w:keepLines w:val="0"/>
        <w:pageBreakBefore w:val="0"/>
        <w:widowControl w:val="0"/>
        <w:numPr>
          <w:ilvl w:val="2"/>
          <w:numId w:val="22"/>
        </w:numPr>
        <w:kinsoku/>
        <w:wordWrap/>
        <w:overflowPunct/>
        <w:topLinePunct w:val="0"/>
        <w:autoSpaceDE/>
        <w:autoSpaceDN/>
        <w:bidi w:val="0"/>
        <w:adjustRightInd/>
        <w:snapToGrid/>
        <w:spacing w:line="400" w:lineRule="exact"/>
        <w:ind w:left="624" w:hanging="624"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推荐成交候选供应商后，谈判小组拟出具谈判报告前，采购代理机构应当组织2名以上的本单位工作人员，在采购现场监督人员的监督之下，依据有关的法律制度和谈判文件对评审结果进行复核，出具复核报告，存在价格计算错误的，采购代理机构应当根据情况书面建议谈判小组现场修改评审结果。由谈判小组自主决定是否采纳采购代理机构的书面建议，并承担独立评审责任。</w:t>
      </w:r>
    </w:p>
    <w:p w14:paraId="17D46813">
      <w:pPr>
        <w:pStyle w:val="65"/>
        <w:keepNext w:val="0"/>
        <w:keepLines w:val="0"/>
        <w:pageBreakBefore w:val="0"/>
        <w:widowControl w:val="0"/>
        <w:numPr>
          <w:ilvl w:val="2"/>
          <w:numId w:val="22"/>
        </w:numPr>
        <w:kinsoku/>
        <w:wordWrap/>
        <w:overflowPunct/>
        <w:topLinePunct w:val="0"/>
        <w:autoSpaceDE/>
        <w:autoSpaceDN/>
        <w:bidi w:val="0"/>
        <w:adjustRightInd/>
        <w:snapToGrid/>
        <w:spacing w:line="400" w:lineRule="exact"/>
        <w:ind w:left="624" w:hanging="624"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谈判小组采纳采购代理机构书面建议的，应当按照规定现场修改评审结果或者重新评审，并在谈判报告中详细记载有关事宜；不采纳采购代理机构书面建议的，应当书面说明理由。采购代理机构书面建议未被谈判小组采纳的，应当接照规定程序要求继续组织实施采购活动，不得擅自中止采购活动。采购代理机构认为谈判小组评审结果不合法的，应当书面报告</w:t>
      </w:r>
      <w:r>
        <w:rPr>
          <w:rFonts w:hint="eastAsia" w:ascii="仿宋" w:hAnsi="仿宋" w:eastAsia="仿宋" w:cs="仿宋"/>
          <w:color w:val="auto"/>
          <w:highlight w:val="none"/>
          <w:lang w:eastAsia="zh-CN"/>
        </w:rPr>
        <w:t>相关</w:t>
      </w:r>
      <w:r>
        <w:rPr>
          <w:rFonts w:hint="eastAsia" w:ascii="仿宋" w:hAnsi="仿宋" w:eastAsia="仿宋" w:cs="仿宋"/>
          <w:color w:val="auto"/>
          <w:highlight w:val="none"/>
        </w:rPr>
        <w:t>部门。</w:t>
      </w:r>
    </w:p>
    <w:p w14:paraId="23C901EE">
      <w:pPr>
        <w:pStyle w:val="65"/>
        <w:numPr>
          <w:ilvl w:val="2"/>
          <w:numId w:val="22"/>
        </w:numPr>
        <w:spacing w:line="400" w:lineRule="exact"/>
        <w:ind w:firstLineChars="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采购代理机构复核过程中，谈判小组成员不得离开评审现场</w:t>
      </w:r>
      <w:r>
        <w:rPr>
          <w:rFonts w:hint="eastAsia" w:ascii="仿宋" w:hAnsi="仿宋" w:eastAsia="仿宋" w:cs="仿宋"/>
          <w:color w:val="auto"/>
          <w:highlight w:val="none"/>
        </w:rPr>
        <w:t>。</w:t>
      </w:r>
    </w:p>
    <w:p w14:paraId="0B0B03CD">
      <w:pPr>
        <w:pStyle w:val="54"/>
        <w:numPr>
          <w:ilvl w:val="1"/>
          <w:numId w:val="22"/>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编写谈判报告</w:t>
      </w:r>
    </w:p>
    <w:p w14:paraId="0B50FE02">
      <w:pPr>
        <w:pStyle w:val="54"/>
        <w:keepNext w:val="0"/>
        <w:keepLines w:val="0"/>
        <w:pageBreakBefore w:val="0"/>
        <w:widowControl w:val="0"/>
        <w:numPr>
          <w:ilvl w:val="2"/>
          <w:numId w:val="22"/>
        </w:numPr>
        <w:kinsoku/>
        <w:wordWrap/>
        <w:overflowPunct/>
        <w:topLinePunct w:val="0"/>
        <w:autoSpaceDE/>
        <w:autoSpaceDN/>
        <w:bidi w:val="0"/>
        <w:adjustRightInd/>
        <w:snapToGrid/>
        <w:spacing w:line="380" w:lineRule="exact"/>
        <w:ind w:left="709" w:leftChars="0" w:hanging="709"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谈判小组推荐成交候选供应商后，应向采购代理机构出具谈判报告。谈判报告应当包括以下主要内容：</w:t>
      </w:r>
    </w:p>
    <w:p w14:paraId="08F27274">
      <w:pPr>
        <w:pStyle w:val="54"/>
        <w:keepNext w:val="0"/>
        <w:keepLines w:val="0"/>
        <w:pageBreakBefore w:val="0"/>
        <w:widowControl w:val="0"/>
        <w:numPr>
          <w:ilvl w:val="0"/>
          <w:numId w:val="25"/>
        </w:numPr>
        <w:kinsoku/>
        <w:wordWrap/>
        <w:overflowPunct/>
        <w:topLinePunct w:val="0"/>
        <w:autoSpaceDE/>
        <w:autoSpaceDN/>
        <w:bidi w:val="0"/>
        <w:adjustRightInd/>
        <w:snapToGrid/>
        <w:spacing w:line="380" w:lineRule="exact"/>
        <w:ind w:left="425" w:leftChars="0" w:hanging="425"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邀请供应商参加采购活动的具体方式和相关情况；</w:t>
      </w:r>
    </w:p>
    <w:p w14:paraId="5F6837F8">
      <w:pPr>
        <w:pStyle w:val="54"/>
        <w:keepNext w:val="0"/>
        <w:keepLines w:val="0"/>
        <w:pageBreakBefore w:val="0"/>
        <w:widowControl w:val="0"/>
        <w:numPr>
          <w:ilvl w:val="0"/>
          <w:numId w:val="25"/>
        </w:numPr>
        <w:kinsoku/>
        <w:wordWrap/>
        <w:overflowPunct/>
        <w:topLinePunct w:val="0"/>
        <w:autoSpaceDE/>
        <w:autoSpaceDN/>
        <w:bidi w:val="0"/>
        <w:adjustRightInd/>
        <w:snapToGrid/>
        <w:spacing w:line="380" w:lineRule="exact"/>
        <w:ind w:left="425" w:leftChars="0" w:hanging="425"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响应文件开启日期和地点；</w:t>
      </w:r>
    </w:p>
    <w:p w14:paraId="1B353AB9">
      <w:pPr>
        <w:pStyle w:val="54"/>
        <w:keepNext w:val="0"/>
        <w:keepLines w:val="0"/>
        <w:pageBreakBefore w:val="0"/>
        <w:widowControl w:val="0"/>
        <w:numPr>
          <w:ilvl w:val="0"/>
          <w:numId w:val="25"/>
        </w:numPr>
        <w:kinsoku/>
        <w:wordWrap/>
        <w:overflowPunct/>
        <w:topLinePunct w:val="0"/>
        <w:autoSpaceDE/>
        <w:autoSpaceDN/>
        <w:bidi w:val="0"/>
        <w:adjustRightInd/>
        <w:snapToGrid/>
        <w:spacing w:line="380" w:lineRule="exact"/>
        <w:ind w:left="425" w:leftChars="0" w:hanging="425"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获取谈判文件的供应商名单和谈判小组成员名单；</w:t>
      </w:r>
    </w:p>
    <w:p w14:paraId="7AB430F3">
      <w:pPr>
        <w:pStyle w:val="54"/>
        <w:keepNext w:val="0"/>
        <w:keepLines w:val="0"/>
        <w:pageBreakBefore w:val="0"/>
        <w:widowControl w:val="0"/>
        <w:numPr>
          <w:ilvl w:val="0"/>
          <w:numId w:val="25"/>
        </w:numPr>
        <w:kinsoku/>
        <w:wordWrap/>
        <w:overflowPunct/>
        <w:topLinePunct w:val="0"/>
        <w:autoSpaceDE/>
        <w:autoSpaceDN/>
        <w:bidi w:val="0"/>
        <w:adjustRightInd/>
        <w:snapToGrid/>
        <w:spacing w:line="380" w:lineRule="exact"/>
        <w:ind w:left="425" w:leftChars="0" w:hanging="425"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评审情况记录和说明，包括对供应商的资格审查情况、供应商响应文件审查情况、谈判情况、报价情况等；</w:t>
      </w:r>
    </w:p>
    <w:p w14:paraId="4DED329C">
      <w:pPr>
        <w:pStyle w:val="54"/>
        <w:keepNext w:val="0"/>
        <w:keepLines w:val="0"/>
        <w:pageBreakBefore w:val="0"/>
        <w:widowControl w:val="0"/>
        <w:numPr>
          <w:ilvl w:val="0"/>
          <w:numId w:val="25"/>
        </w:numPr>
        <w:kinsoku/>
        <w:wordWrap/>
        <w:overflowPunct/>
        <w:topLinePunct w:val="0"/>
        <w:autoSpaceDE/>
        <w:autoSpaceDN/>
        <w:bidi w:val="0"/>
        <w:adjustRightInd/>
        <w:snapToGrid/>
        <w:spacing w:line="380" w:lineRule="exact"/>
        <w:ind w:left="425" w:leftChars="0" w:hanging="425"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提出的成交候选供应商的排序名单及理由。</w:t>
      </w:r>
    </w:p>
    <w:p w14:paraId="665DE267">
      <w:pPr>
        <w:pStyle w:val="54"/>
        <w:keepNext w:val="0"/>
        <w:keepLines w:val="0"/>
        <w:pageBreakBefore w:val="0"/>
        <w:widowControl w:val="0"/>
        <w:numPr>
          <w:ilvl w:val="2"/>
          <w:numId w:val="22"/>
        </w:numPr>
        <w:kinsoku/>
        <w:wordWrap/>
        <w:overflowPunct/>
        <w:topLinePunct w:val="0"/>
        <w:autoSpaceDE/>
        <w:autoSpaceDN/>
        <w:bidi w:val="0"/>
        <w:adjustRightInd/>
        <w:snapToGrid/>
        <w:spacing w:line="380" w:lineRule="exact"/>
        <w:ind w:left="709" w:leftChars="0" w:hanging="709" w:firstLineChars="0"/>
        <w:textAlignment w:val="auto"/>
        <w:rPr>
          <w:rFonts w:hint="eastAsia" w:ascii="仿宋" w:hAnsi="仿宋" w:eastAsia="仿宋" w:cs="仿宋"/>
          <w:color w:val="auto"/>
          <w:szCs w:val="21"/>
          <w:highlight w:val="none"/>
        </w:rPr>
      </w:pPr>
      <w:r>
        <w:rPr>
          <w:rFonts w:hint="eastAsia" w:ascii="仿宋" w:hAnsi="仿宋" w:eastAsia="仿宋" w:cs="仿宋"/>
          <w:color w:val="auto"/>
          <w:highlight w:val="none"/>
        </w:rPr>
        <w:t>谈判报告应当由谈判小组全体人员签字认可。谈判小组成员对谈判报告有异议的，谈判小组按照少数服从多数的原则推荐成交候选供应商，采购程序继续进行。对谈判报告有异议的谈判小组成员，应当在报告上签署不同意见并说明理由，由谈判小组书面记录相关情况。谈判小组成员拒绝在报告上签字又不书面说明其不同意见和理由的，视为同意谈判报告。</w:t>
      </w:r>
    </w:p>
    <w:p w14:paraId="79FC111C">
      <w:pPr>
        <w:pStyle w:val="54"/>
        <w:numPr>
          <w:ilvl w:val="1"/>
          <w:numId w:val="22"/>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谈判异议处理规则。在谈判过程中，谈判小组成员对响应文件是否符合谈判文件规定存在争议的，应当以少数服从多数的原则处理，但不违背谈判文件规定。有不同意见的谈判小组成员认为认定过程和结果不符合法律法规或者谈判文件规定的，应当在谈判报告中予以反映。</w:t>
      </w:r>
    </w:p>
    <w:p w14:paraId="58B95D71">
      <w:pPr>
        <w:pStyle w:val="54"/>
        <w:numPr>
          <w:ilvl w:val="1"/>
          <w:numId w:val="22"/>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终止谈判采购活动。</w:t>
      </w:r>
    </w:p>
    <w:p w14:paraId="67902311">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出现下列情形之一的，采购人或者采购代理机构应当终止竞争性谈判采购活动，发布项目终止公告并说明原因，重新开展采购活动：</w:t>
      </w:r>
    </w:p>
    <w:p w14:paraId="14441893">
      <w:pPr>
        <w:numPr>
          <w:ilvl w:val="0"/>
          <w:numId w:val="26"/>
        </w:numPr>
        <w:spacing w:line="400" w:lineRule="exact"/>
        <w:ind w:left="425" w:leftChars="0" w:hanging="425"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因情况变化，不再符合规定的竞争性谈判采购方式适用情形的；</w:t>
      </w:r>
    </w:p>
    <w:p w14:paraId="103852A0">
      <w:pPr>
        <w:numPr>
          <w:ilvl w:val="0"/>
          <w:numId w:val="26"/>
        </w:numPr>
        <w:spacing w:line="400" w:lineRule="exact"/>
        <w:ind w:left="425" w:leftChars="0" w:hanging="425"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出现影响采购公正的违法、违规行为的；</w:t>
      </w:r>
    </w:p>
    <w:p w14:paraId="544AF389">
      <w:pPr>
        <w:numPr>
          <w:ilvl w:val="0"/>
          <w:numId w:val="26"/>
        </w:numPr>
        <w:spacing w:line="400" w:lineRule="exact"/>
        <w:ind w:left="425" w:leftChars="0" w:hanging="425"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在采购过程中符合要求的供应商或者最后报价未超过采购预算的供应商不足3家的。</w:t>
      </w:r>
    </w:p>
    <w:p w14:paraId="2EB20297">
      <w:pPr>
        <w:pStyle w:val="54"/>
        <w:numPr>
          <w:ilvl w:val="0"/>
          <w:numId w:val="22"/>
        </w:numPr>
        <w:spacing w:line="400" w:lineRule="exact"/>
        <w:ind w:firstLineChars="0"/>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谈判小组在采购活动中承担以下义务：</w:t>
      </w:r>
    </w:p>
    <w:p w14:paraId="1C8C5932">
      <w:pPr>
        <w:pStyle w:val="54"/>
        <w:numPr>
          <w:ilvl w:val="1"/>
          <w:numId w:val="22"/>
        </w:numPr>
        <w:spacing w:line="400" w:lineRule="exact"/>
        <w:ind w:left="567" w:leftChars="0" w:hanging="567" w:firstLineChars="0"/>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遵守评审工作纪律；</w:t>
      </w:r>
    </w:p>
    <w:p w14:paraId="7FAAAA03">
      <w:pPr>
        <w:pStyle w:val="54"/>
        <w:numPr>
          <w:ilvl w:val="1"/>
          <w:numId w:val="22"/>
        </w:numPr>
        <w:spacing w:line="400" w:lineRule="exact"/>
        <w:ind w:left="567" w:leftChars="0" w:hanging="567" w:firstLineChars="0"/>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按照客观、公正、审慎的原则，根据谈判文件规定的评审程序、评审方法和评审标准进行独立评审；</w:t>
      </w:r>
    </w:p>
    <w:p w14:paraId="6AEFFBFB">
      <w:pPr>
        <w:pStyle w:val="54"/>
        <w:numPr>
          <w:ilvl w:val="1"/>
          <w:numId w:val="22"/>
        </w:numPr>
        <w:spacing w:line="400" w:lineRule="exact"/>
        <w:ind w:left="567" w:leftChars="0" w:hanging="567" w:firstLineChars="0"/>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不得泄露评审文件、评审情况和在评审过程中获悉的商业秘密；</w:t>
      </w:r>
    </w:p>
    <w:p w14:paraId="121E2049">
      <w:pPr>
        <w:pStyle w:val="54"/>
        <w:numPr>
          <w:ilvl w:val="1"/>
          <w:numId w:val="22"/>
        </w:numPr>
        <w:spacing w:line="400" w:lineRule="exact"/>
        <w:ind w:left="567" w:leftChars="0" w:hanging="567" w:firstLineChars="0"/>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及时向</w:t>
      </w:r>
      <w:r>
        <w:rPr>
          <w:rFonts w:hint="eastAsia" w:ascii="仿宋" w:hAnsi="仿宋" w:eastAsia="仿宋" w:cs="仿宋"/>
          <w:b w:val="0"/>
          <w:bCs/>
          <w:color w:val="auto"/>
          <w:szCs w:val="21"/>
          <w:highlight w:val="none"/>
          <w:lang w:eastAsia="zh-CN"/>
        </w:rPr>
        <w:t>相关</w:t>
      </w:r>
      <w:r>
        <w:rPr>
          <w:rFonts w:hint="eastAsia" w:ascii="仿宋" w:hAnsi="仿宋" w:eastAsia="仿宋" w:cs="仿宋"/>
          <w:b w:val="0"/>
          <w:bCs/>
          <w:color w:val="auto"/>
          <w:szCs w:val="21"/>
          <w:highlight w:val="none"/>
        </w:rPr>
        <w:t>部门报告评审过程中发现的采购人、采购代理机构向评审专家做倾向性、误导性的解释或者说明，以及供应商行贿、提供虚假材料或者串通等违法行为；</w:t>
      </w:r>
    </w:p>
    <w:p w14:paraId="00244115">
      <w:pPr>
        <w:pStyle w:val="54"/>
        <w:numPr>
          <w:ilvl w:val="1"/>
          <w:numId w:val="22"/>
        </w:numPr>
        <w:spacing w:line="400" w:lineRule="exact"/>
        <w:ind w:left="567" w:leftChars="0" w:hanging="567" w:firstLineChars="0"/>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发现谈判文件内容违反国家有关强制性规定或者谈判文件存在歧义、重大缺陷导致评审工作无法进行时，停止评审并向采购人或者采购代理机构书面说明情况；</w:t>
      </w:r>
    </w:p>
    <w:p w14:paraId="1019B473">
      <w:pPr>
        <w:pStyle w:val="54"/>
        <w:numPr>
          <w:ilvl w:val="1"/>
          <w:numId w:val="22"/>
        </w:numPr>
        <w:spacing w:line="400" w:lineRule="exact"/>
        <w:ind w:left="567" w:leftChars="0" w:hanging="567" w:firstLineChars="0"/>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及时向</w:t>
      </w:r>
      <w:r>
        <w:rPr>
          <w:rFonts w:hint="eastAsia" w:ascii="仿宋" w:hAnsi="仿宋" w:eastAsia="仿宋" w:cs="仿宋"/>
          <w:b w:val="0"/>
          <w:bCs/>
          <w:color w:val="auto"/>
          <w:szCs w:val="21"/>
          <w:highlight w:val="none"/>
          <w:lang w:eastAsia="zh-CN"/>
        </w:rPr>
        <w:t>相关</w:t>
      </w:r>
      <w:r>
        <w:rPr>
          <w:rFonts w:hint="eastAsia" w:ascii="仿宋" w:hAnsi="仿宋" w:eastAsia="仿宋" w:cs="仿宋"/>
          <w:b w:val="0"/>
          <w:bCs/>
          <w:color w:val="auto"/>
          <w:szCs w:val="21"/>
          <w:highlight w:val="none"/>
        </w:rPr>
        <w:t>部门举报在评审过程中受到非法干预的情况；</w:t>
      </w:r>
    </w:p>
    <w:p w14:paraId="7A5C8679">
      <w:pPr>
        <w:pStyle w:val="54"/>
        <w:numPr>
          <w:ilvl w:val="1"/>
          <w:numId w:val="22"/>
        </w:numPr>
        <w:spacing w:line="400" w:lineRule="exact"/>
        <w:ind w:left="567" w:leftChars="0" w:hanging="567" w:firstLineChars="0"/>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配合答复处理供应商的询问、质疑和投诉等事项；</w:t>
      </w:r>
    </w:p>
    <w:p w14:paraId="791A942B">
      <w:pPr>
        <w:pStyle w:val="54"/>
        <w:numPr>
          <w:ilvl w:val="1"/>
          <w:numId w:val="22"/>
        </w:numPr>
        <w:spacing w:line="400" w:lineRule="exact"/>
        <w:ind w:left="567" w:leftChars="0" w:hanging="567" w:firstLineChars="0"/>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法律、法规和规章规定的其他义务。</w:t>
      </w:r>
    </w:p>
    <w:p w14:paraId="7385225A">
      <w:pPr>
        <w:pStyle w:val="54"/>
        <w:numPr>
          <w:ilvl w:val="0"/>
          <w:numId w:val="22"/>
        </w:numPr>
        <w:spacing w:line="400" w:lineRule="exact"/>
        <w:ind w:firstLineChars="0"/>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评审专家在采购活动中应当遵守以下工作纪律：</w:t>
      </w:r>
    </w:p>
    <w:bookmarkEnd w:id="29"/>
    <w:bookmarkEnd w:id="30"/>
    <w:p w14:paraId="68170D2D">
      <w:pPr>
        <w:pStyle w:val="54"/>
        <w:numPr>
          <w:ilvl w:val="1"/>
          <w:numId w:val="22"/>
        </w:numPr>
        <w:spacing w:line="400" w:lineRule="exact"/>
        <w:ind w:left="567" w:leftChars="0" w:hanging="567" w:firstLineChars="0"/>
        <w:rPr>
          <w:rFonts w:hint="eastAsia" w:ascii="仿宋" w:hAnsi="仿宋" w:eastAsia="仿宋" w:cs="仿宋"/>
          <w:b w:val="0"/>
          <w:bCs/>
          <w:color w:val="auto"/>
          <w:szCs w:val="21"/>
          <w:highlight w:val="none"/>
        </w:rPr>
      </w:pPr>
      <w:bookmarkStart w:id="40" w:name="_Toc509380481"/>
      <w:bookmarkStart w:id="41" w:name="_Toc500015442"/>
      <w:bookmarkStart w:id="42" w:name="_Toc499843256"/>
      <w:r>
        <w:rPr>
          <w:rFonts w:hint="eastAsia" w:ascii="仿宋" w:hAnsi="仿宋" w:eastAsia="仿宋" w:cs="仿宋"/>
          <w:b w:val="0"/>
          <w:bCs/>
          <w:color w:val="auto"/>
          <w:szCs w:val="21"/>
          <w:highlight w:val="none"/>
        </w:rPr>
        <w:t>不得参加与自己有利害关系的采购项目的评审活动。发现参加了与自己有利害关系的评审活动，须主动提出回避，退出评审；</w:t>
      </w:r>
    </w:p>
    <w:p w14:paraId="61862D3C">
      <w:pPr>
        <w:pStyle w:val="54"/>
        <w:numPr>
          <w:ilvl w:val="1"/>
          <w:numId w:val="22"/>
        </w:numPr>
        <w:spacing w:line="400" w:lineRule="exact"/>
        <w:ind w:left="567" w:leftChars="0" w:hanging="567" w:firstLineChars="0"/>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评审前，应当将通讯工具或者相关电子设备交由采购代理机构统一保管；</w:t>
      </w:r>
    </w:p>
    <w:p w14:paraId="542B0365">
      <w:pPr>
        <w:pStyle w:val="54"/>
        <w:numPr>
          <w:ilvl w:val="1"/>
          <w:numId w:val="22"/>
        </w:numPr>
        <w:spacing w:line="400" w:lineRule="exact"/>
        <w:ind w:left="567" w:leftChars="0" w:hanging="567" w:firstLineChars="0"/>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评审过程中，不得与外界联系，因发生不可预见情况，确实需要与外界联系的，应当在监督人员监督之下办理；</w:t>
      </w:r>
    </w:p>
    <w:p w14:paraId="5B432DE9">
      <w:pPr>
        <w:pStyle w:val="54"/>
        <w:numPr>
          <w:ilvl w:val="1"/>
          <w:numId w:val="22"/>
        </w:numPr>
        <w:spacing w:line="400" w:lineRule="exact"/>
        <w:ind w:left="567" w:leftChars="0" w:hanging="567" w:firstLineChars="0"/>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评审过程中，不得发表影响评审公正的倾向性、歧视性言论，不得征询或者接受采购人的倾向性意见，不得明示或暗示供应商在澄清时表达与其响应文件原义不同的意见，不得以谈判文件没有规定的评审方法和标准作为评审的依据，不得修改或者细化评审程序、评审方法、评审因素和评审标准，不得违规撰写评审意见，不得拒绝对自己的评审意见签字确认；</w:t>
      </w:r>
    </w:p>
    <w:p w14:paraId="07A63B44">
      <w:pPr>
        <w:pStyle w:val="54"/>
        <w:numPr>
          <w:ilvl w:val="1"/>
          <w:numId w:val="22"/>
        </w:numPr>
        <w:spacing w:line="400" w:lineRule="exact"/>
        <w:ind w:left="567" w:leftChars="0" w:hanging="567" w:firstLineChars="0"/>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在评审过程中和评审结束后，不得记录、复制或带走任何评审资料，不得向外界透露评审内容；</w:t>
      </w:r>
    </w:p>
    <w:p w14:paraId="6FB7D328">
      <w:pPr>
        <w:pStyle w:val="54"/>
        <w:numPr>
          <w:ilvl w:val="1"/>
          <w:numId w:val="22"/>
        </w:numPr>
        <w:spacing w:line="400" w:lineRule="exact"/>
        <w:ind w:left="567" w:leftChars="0" w:hanging="567" w:firstLineChars="0"/>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评审现场服从采购代理机构工作人员的管理，接受现场监督人员的合法监督；</w:t>
      </w:r>
    </w:p>
    <w:p w14:paraId="1883E919">
      <w:pPr>
        <w:pStyle w:val="54"/>
        <w:numPr>
          <w:ilvl w:val="1"/>
          <w:numId w:val="22"/>
        </w:numPr>
        <w:spacing w:line="400" w:lineRule="exact"/>
        <w:ind w:left="567" w:leftChars="0" w:hanging="567" w:firstLineChars="0"/>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遵守有关廉洁自律规定，不得私下接触供应商，不得收受供应商及有关业务单位和个人的财物或好处，不得接受采购代理机构的请托。</w:t>
      </w:r>
    </w:p>
    <w:p w14:paraId="0F92DC1D">
      <w:pPr>
        <w:pStyle w:val="54"/>
        <w:numPr>
          <w:ilvl w:val="1"/>
          <w:numId w:val="22"/>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 w:val="32"/>
          <w:szCs w:val="32"/>
          <w:highlight w:val="none"/>
        </w:rPr>
        <w:br w:type="page"/>
      </w:r>
    </w:p>
    <w:p w14:paraId="60053933">
      <w:pPr>
        <w:pStyle w:val="3"/>
        <w:spacing w:line="240" w:lineRule="auto"/>
        <w:jc w:val="center"/>
        <w:rPr>
          <w:rFonts w:hint="eastAsia" w:ascii="仿宋" w:hAnsi="仿宋" w:eastAsia="仿宋" w:cs="仿宋"/>
          <w:color w:val="auto"/>
          <w:sz w:val="32"/>
          <w:szCs w:val="32"/>
          <w:highlight w:val="none"/>
        </w:rPr>
      </w:pPr>
      <w:bookmarkStart w:id="43" w:name="_Toc11831382"/>
      <w:bookmarkStart w:id="44" w:name="_Toc14017"/>
      <w:r>
        <w:rPr>
          <w:rFonts w:hint="eastAsia" w:ascii="仿宋" w:hAnsi="仿宋" w:eastAsia="仿宋" w:cs="仿宋"/>
          <w:color w:val="auto"/>
          <w:sz w:val="32"/>
          <w:szCs w:val="32"/>
          <w:highlight w:val="none"/>
        </w:rPr>
        <w:t xml:space="preserve">第九章  </w:t>
      </w:r>
      <w:bookmarkEnd w:id="40"/>
      <w:bookmarkEnd w:id="43"/>
      <w:r>
        <w:rPr>
          <w:rFonts w:hint="eastAsia" w:ascii="仿宋" w:hAnsi="仿宋" w:eastAsia="仿宋" w:cs="仿宋"/>
          <w:color w:val="auto"/>
          <w:sz w:val="32"/>
          <w:szCs w:val="32"/>
          <w:highlight w:val="none"/>
        </w:rPr>
        <w:t>采购合同（草案）</w:t>
      </w:r>
      <w:bookmarkEnd w:id="44"/>
    </w:p>
    <w:p w14:paraId="30A6FAD6">
      <w:pPr>
        <w:widowControl/>
        <w:spacing w:line="40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说明：由采购人依据项目具体需求，并按照《中华人民共和国民法典》等相关规定制定。可以采用行业标准合同范本。</w:t>
      </w:r>
    </w:p>
    <w:p w14:paraId="57A61069">
      <w:pPr>
        <w:widowControl/>
        <w:spacing w:line="400" w:lineRule="exact"/>
        <w:jc w:val="left"/>
        <w:rPr>
          <w:rFonts w:hint="eastAsia" w:ascii="仿宋" w:hAnsi="仿宋" w:eastAsia="仿宋" w:cs="仿宋"/>
          <w:color w:val="auto"/>
          <w:szCs w:val="21"/>
          <w:highlight w:val="none"/>
        </w:rPr>
      </w:pPr>
    </w:p>
    <w:p w14:paraId="16B47340">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合同编号：XXXX。</w:t>
      </w:r>
    </w:p>
    <w:p w14:paraId="61DAB80D">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签订地点：XXXX。</w:t>
      </w:r>
    </w:p>
    <w:p w14:paraId="7768328D">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签订时间：XXXX年XX月XX日。</w:t>
      </w:r>
    </w:p>
    <w:p w14:paraId="5DEB3893">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采购人（甲方）：</w:t>
      </w:r>
      <w:r>
        <w:rPr>
          <w:rFonts w:hint="eastAsia" w:ascii="仿宋" w:hAnsi="仿宋" w:eastAsia="仿宋" w:cs="仿宋"/>
          <w:color w:val="auto"/>
          <w:szCs w:val="21"/>
          <w:highlight w:val="none"/>
          <w:u w:val="single"/>
        </w:rPr>
        <w:t xml:space="preserve">                              </w:t>
      </w:r>
    </w:p>
    <w:p w14:paraId="7E9CD0D6">
      <w:pPr>
        <w:widowControl/>
        <w:spacing w:line="400" w:lineRule="exact"/>
        <w:jc w:val="lef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供应商（乙方）：</w:t>
      </w:r>
      <w:r>
        <w:rPr>
          <w:rFonts w:hint="eastAsia" w:ascii="仿宋" w:hAnsi="仿宋" w:eastAsia="仿宋" w:cs="仿宋"/>
          <w:color w:val="auto"/>
          <w:szCs w:val="21"/>
          <w:highlight w:val="none"/>
          <w:u w:val="single"/>
        </w:rPr>
        <w:t xml:space="preserve">                              </w:t>
      </w:r>
    </w:p>
    <w:p w14:paraId="37D4A2BC">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根据《中华人民共和国民法典》与项目行业有关的法律法规，及XXX采购项目（项目编号：XXX）的《谈判文件》、乙方的《响应文件》及《成交通知书》，甲、乙双方同意签订本合同。详细技术说明及其他有关合同项目的特定信息由合同附件予以说明，合同附件及本项目的谈判文件、响应文件、《成交通知书》等均为本合同的组成部分。 </w:t>
      </w:r>
    </w:p>
    <w:p w14:paraId="3D7D2667">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项目基本情况</w:t>
      </w:r>
    </w:p>
    <w:p w14:paraId="1C4AD67C">
      <w:pPr>
        <w:widowControl/>
        <w:spacing w:line="400" w:lineRule="exact"/>
        <w:jc w:val="left"/>
        <w:rPr>
          <w:rFonts w:hint="eastAsia" w:ascii="仿宋" w:hAnsi="仿宋" w:eastAsia="仿宋" w:cs="仿宋"/>
          <w:color w:val="auto"/>
          <w:szCs w:val="21"/>
          <w:highlight w:val="none"/>
        </w:rPr>
      </w:pPr>
    </w:p>
    <w:p w14:paraId="29831DD5">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一、</w:t>
      </w:r>
      <w:r>
        <w:rPr>
          <w:rFonts w:hint="eastAsia" w:ascii="仿宋" w:hAnsi="仿宋" w:eastAsia="仿宋" w:cs="仿宋"/>
          <w:color w:val="auto"/>
          <w:szCs w:val="21"/>
          <w:highlight w:val="none"/>
        </w:rPr>
        <w:t>合同期限</w:t>
      </w:r>
    </w:p>
    <w:p w14:paraId="2849C7B4">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1、XXXX；</w:t>
      </w:r>
    </w:p>
    <w:p w14:paraId="2DB850E3">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二、</w:t>
      </w:r>
      <w:r>
        <w:rPr>
          <w:rFonts w:hint="eastAsia" w:ascii="仿宋" w:hAnsi="仿宋" w:eastAsia="仿宋" w:cs="仿宋"/>
          <w:color w:val="auto"/>
          <w:szCs w:val="21"/>
          <w:highlight w:val="none"/>
        </w:rPr>
        <w:t>服务内容与质量标准</w:t>
      </w:r>
    </w:p>
    <w:p w14:paraId="1EEA77F0">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1、XXXX；</w:t>
      </w:r>
    </w:p>
    <w:p w14:paraId="47074D60">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2、XXXX；</w:t>
      </w:r>
    </w:p>
    <w:p w14:paraId="714E1933">
      <w:pPr>
        <w:widowControl/>
        <w:spacing w:line="40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3、XXXX</w:t>
      </w:r>
      <w:r>
        <w:rPr>
          <w:rFonts w:hint="eastAsia" w:ascii="仿宋" w:hAnsi="仿宋" w:eastAsia="仿宋" w:cs="仿宋"/>
          <w:color w:val="auto"/>
          <w:szCs w:val="21"/>
          <w:highlight w:val="none"/>
          <w:lang w:eastAsia="zh-CN"/>
        </w:rPr>
        <w:t>。</w:t>
      </w:r>
    </w:p>
    <w:p w14:paraId="02B7C3B7">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p>
    <w:p w14:paraId="6D1FCDBF">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三、</w:t>
      </w:r>
      <w:r>
        <w:rPr>
          <w:rFonts w:hint="eastAsia" w:ascii="仿宋" w:hAnsi="仿宋" w:eastAsia="仿宋" w:cs="仿宋"/>
          <w:color w:val="auto"/>
          <w:szCs w:val="21"/>
          <w:highlight w:val="none"/>
        </w:rPr>
        <w:t>服务费用及支付方式</w:t>
      </w:r>
    </w:p>
    <w:p w14:paraId="25FE626C">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（一）</w:t>
      </w:r>
      <w:r>
        <w:rPr>
          <w:rFonts w:hint="eastAsia" w:ascii="仿宋" w:hAnsi="仿宋" w:eastAsia="仿宋" w:cs="仿宋"/>
          <w:color w:val="auto"/>
          <w:szCs w:val="21"/>
          <w:highlight w:val="none"/>
        </w:rPr>
        <w:t>本项目服务费用由以下组成：</w:t>
      </w:r>
    </w:p>
    <w:p w14:paraId="0D5DBC30">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1、XX万元；</w:t>
      </w:r>
    </w:p>
    <w:p w14:paraId="5A423ADF">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2、XX万元；</w:t>
      </w:r>
    </w:p>
    <w:p w14:paraId="2B369A6C">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3、XX万元。</w:t>
      </w:r>
    </w:p>
    <w:p w14:paraId="4CAE0178">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p>
    <w:p w14:paraId="2783DCA0">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（二）</w:t>
      </w:r>
      <w:r>
        <w:rPr>
          <w:rFonts w:hint="eastAsia" w:ascii="仿宋" w:hAnsi="仿宋" w:eastAsia="仿宋" w:cs="仿宋"/>
          <w:color w:val="auto"/>
          <w:szCs w:val="21"/>
          <w:highlight w:val="none"/>
        </w:rPr>
        <w:t>服务费支付方式：</w:t>
      </w:r>
    </w:p>
    <w:p w14:paraId="25AD2435">
      <w:pPr>
        <w:widowControl/>
        <w:spacing w:line="40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XXXX</w:t>
      </w:r>
      <w:r>
        <w:rPr>
          <w:rFonts w:hint="eastAsia" w:ascii="仿宋" w:hAnsi="仿宋" w:eastAsia="仿宋" w:cs="仿宋"/>
          <w:color w:val="auto"/>
          <w:szCs w:val="21"/>
          <w:highlight w:val="none"/>
          <w:lang w:eastAsia="zh-CN"/>
        </w:rPr>
        <w:t>。</w:t>
      </w:r>
    </w:p>
    <w:p w14:paraId="38D07DEC">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四、</w:t>
      </w:r>
      <w:r>
        <w:rPr>
          <w:rFonts w:hint="eastAsia" w:ascii="仿宋" w:hAnsi="仿宋" w:eastAsia="仿宋" w:cs="仿宋"/>
          <w:color w:val="auto"/>
          <w:szCs w:val="21"/>
          <w:highlight w:val="none"/>
        </w:rPr>
        <w:t>知识产权</w:t>
      </w:r>
    </w:p>
    <w:p w14:paraId="586F5F78">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乙方应保证所提供的服务或其任何一部分均不会侵犯任何第三方的专利权、商标权或著作权。</w:t>
      </w:r>
    </w:p>
    <w:p w14:paraId="0EF8713D">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无产权瑕疵条款</w:t>
      </w:r>
    </w:p>
    <w:p w14:paraId="6937805A">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乙方保证所提供的服务的所有权完全属于乙方且无任何抵押、查封等产权瑕疵。如有产权瑕疵的，视为乙方违约。乙方应负担由此而产生的一切损失。</w:t>
      </w:r>
    </w:p>
    <w:p w14:paraId="6245B25A">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五、</w:t>
      </w:r>
      <w:r>
        <w:rPr>
          <w:rFonts w:hint="eastAsia" w:ascii="仿宋" w:hAnsi="仿宋" w:eastAsia="仿宋" w:cs="仿宋"/>
          <w:color w:val="auto"/>
          <w:szCs w:val="21"/>
          <w:highlight w:val="none"/>
        </w:rPr>
        <w:t>甲方的权利和义务</w:t>
      </w:r>
    </w:p>
    <w:p w14:paraId="16DB7231">
      <w:pPr>
        <w:widowControl/>
        <w:spacing w:line="400" w:lineRule="exact"/>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1、甲方有权对合同规定范围内乙方的服务行为进行监督和检查，拥有监管权。有权定期核对乙方提供服务所配备的人员数量。对甲方认为不合理的部分有权下达整改通知书，并要求乙方限期整改。</w:t>
      </w:r>
    </w:p>
    <w:p w14:paraId="301C28C9">
      <w:pPr>
        <w:widowControl/>
        <w:spacing w:line="400" w:lineRule="exact"/>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2、负责检查监督乙方管理工作的实施及制度的执行情况。</w:t>
      </w:r>
    </w:p>
    <w:p w14:paraId="180B77D2">
      <w:pPr>
        <w:widowControl/>
        <w:spacing w:line="400" w:lineRule="exact"/>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3、根据本合同规定，按时向乙方支付应付服务费用。</w:t>
      </w:r>
    </w:p>
    <w:p w14:paraId="531AADF1">
      <w:pPr>
        <w:widowControl/>
        <w:spacing w:line="400" w:lineRule="exact"/>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4、国家法律、法规所规定由甲方承担的其它责任。</w:t>
      </w:r>
    </w:p>
    <w:p w14:paraId="3FC1E90F">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六、</w:t>
      </w:r>
      <w:r>
        <w:rPr>
          <w:rFonts w:hint="eastAsia" w:ascii="仿宋" w:hAnsi="仿宋" w:eastAsia="仿宋" w:cs="仿宋"/>
          <w:color w:val="auto"/>
          <w:szCs w:val="21"/>
          <w:highlight w:val="none"/>
        </w:rPr>
        <w:t>乙方的权利和义务</w:t>
      </w:r>
    </w:p>
    <w:p w14:paraId="452557F6">
      <w:pPr>
        <w:widowControl/>
        <w:spacing w:line="400" w:lineRule="exact"/>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1、对本合同规定的委托服务范围内的项目享有管理权及服务义务。</w:t>
      </w:r>
    </w:p>
    <w:p w14:paraId="040746DA">
      <w:pPr>
        <w:widowControl/>
        <w:spacing w:line="400" w:lineRule="exact"/>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2、根据本合同的规定向甲方收取相关服务费用，并有权在本项目管理范围内管理及合理使用。</w:t>
      </w:r>
    </w:p>
    <w:p w14:paraId="1484C052">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3、及时向甲方通告本项目服务范围内有关服务的重大事项，及时配合处理投诉。</w:t>
      </w:r>
    </w:p>
    <w:p w14:paraId="1941782A">
      <w:pPr>
        <w:widowControl/>
        <w:spacing w:line="400" w:lineRule="exact"/>
        <w:jc w:val="left"/>
        <w:rPr>
          <w:rFonts w:hint="eastAsia" w:ascii="仿宋" w:hAnsi="仿宋" w:eastAsia="仿宋" w:cs="仿宋"/>
          <w:bCs/>
          <w:color w:val="auto"/>
          <w:szCs w:val="21"/>
          <w:highlight w:val="none"/>
        </w:rPr>
      </w:pPr>
      <w:r>
        <w:rPr>
          <w:rFonts w:hint="eastAsia" w:ascii="仿宋" w:hAnsi="仿宋" w:eastAsia="仿宋" w:cs="仿宋"/>
          <w:color w:val="auto"/>
          <w:szCs w:val="21"/>
          <w:highlight w:val="none"/>
        </w:rPr>
        <w:t>4、</w:t>
      </w:r>
      <w:r>
        <w:rPr>
          <w:rFonts w:hint="eastAsia" w:ascii="仿宋" w:hAnsi="仿宋" w:eastAsia="仿宋" w:cs="仿宋"/>
          <w:bCs/>
          <w:color w:val="auto"/>
          <w:szCs w:val="21"/>
          <w:highlight w:val="none"/>
        </w:rPr>
        <w:t>接受项目行业管理部门及政府有关部门的指导，接受甲方的监督。</w:t>
      </w:r>
    </w:p>
    <w:p w14:paraId="301F5BDD">
      <w:pPr>
        <w:widowControl/>
        <w:spacing w:line="400" w:lineRule="exact"/>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5、国家法律、法规所规定由乙方承担的其它责任。</w:t>
      </w:r>
    </w:p>
    <w:p w14:paraId="264864C6">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七、</w:t>
      </w:r>
      <w:r>
        <w:rPr>
          <w:rFonts w:hint="eastAsia" w:ascii="仿宋" w:hAnsi="仿宋" w:eastAsia="仿宋" w:cs="仿宋"/>
          <w:color w:val="auto"/>
          <w:szCs w:val="21"/>
          <w:highlight w:val="none"/>
        </w:rPr>
        <w:t>违约责任</w:t>
      </w:r>
    </w:p>
    <w:p w14:paraId="1C0D0E43">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1、甲乙双方必须遵守本合同并执行合同中的各项规定，保证本合同的正常履行。</w:t>
      </w:r>
      <w:r>
        <w:rPr>
          <w:rFonts w:hint="eastAsia" w:ascii="仿宋" w:hAnsi="仿宋" w:eastAsia="仿宋" w:cs="仿宋"/>
          <w:color w:val="auto"/>
          <w:szCs w:val="21"/>
          <w:highlight w:val="none"/>
        </w:rPr>
        <w:t>如有未尽事宜，由双方依法订立补充合同。</w:t>
      </w:r>
    </w:p>
    <w:p w14:paraId="0C25E41E">
      <w:pPr>
        <w:widowControl/>
        <w:spacing w:line="400" w:lineRule="exact"/>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14:paraId="29410CDE">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八、</w:t>
      </w:r>
      <w:r>
        <w:rPr>
          <w:rFonts w:hint="eastAsia" w:ascii="仿宋" w:hAnsi="仿宋" w:eastAsia="仿宋" w:cs="仿宋"/>
          <w:color w:val="auto"/>
          <w:szCs w:val="21"/>
          <w:highlight w:val="none"/>
        </w:rPr>
        <w:t>不可抗力事件处理</w:t>
      </w:r>
    </w:p>
    <w:p w14:paraId="7F5BA50A">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1、在合同有效期内，任何一方因不可抗力事件导致不能履行合同，则合同履行期可延长，其延长期与不可抗力影响期相同。</w:t>
      </w:r>
    </w:p>
    <w:p w14:paraId="6A455E1D">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2、不可抗力事件发生后，应立即通知对方，并寄送有关权威机构出具的证明。</w:t>
      </w:r>
    </w:p>
    <w:p w14:paraId="7F9A9750">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3、不可抗力事件延续XX天以上，双方应通过友好协商，确定是否继续履行合同。</w:t>
      </w:r>
    </w:p>
    <w:p w14:paraId="43484612">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九、</w:t>
      </w:r>
      <w:r>
        <w:rPr>
          <w:rFonts w:hint="eastAsia" w:ascii="仿宋" w:hAnsi="仿宋" w:eastAsia="仿宋" w:cs="仿宋"/>
          <w:color w:val="auto"/>
          <w:szCs w:val="21"/>
          <w:highlight w:val="none"/>
        </w:rPr>
        <w:t>解决合同纠纷的方式</w:t>
      </w:r>
    </w:p>
    <w:p w14:paraId="7715EFF3">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1、在执行本合同中发生的或与本合同有关的争端，双方应通过友好协商解决，经协商在XX天内不能达成协议时，应提交成都仲裁委员会仲裁。</w:t>
      </w:r>
    </w:p>
    <w:p w14:paraId="6743EBF3">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2、仲裁裁决应为最终决定，并对双方具有约束力。</w:t>
      </w:r>
    </w:p>
    <w:p w14:paraId="7AE55860">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3、除另有裁决外，仲裁费应由败诉方负担。</w:t>
      </w:r>
    </w:p>
    <w:p w14:paraId="0ADB2E42">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4、在仲裁期间，除正在进行仲裁部分外，合同其他部分继续执行。</w:t>
      </w:r>
    </w:p>
    <w:p w14:paraId="431327BB">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十、</w:t>
      </w:r>
      <w:r>
        <w:rPr>
          <w:rFonts w:hint="eastAsia" w:ascii="仿宋" w:hAnsi="仿宋" w:eastAsia="仿宋" w:cs="仿宋"/>
          <w:color w:val="auto"/>
          <w:szCs w:val="21"/>
          <w:highlight w:val="none"/>
        </w:rPr>
        <w:t>合同生效及其他</w:t>
      </w:r>
    </w:p>
    <w:p w14:paraId="6D2774CB">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1、合同经双方法定代表人或授权委托代理人签字并加盖单位公章后生效。</w:t>
      </w:r>
    </w:p>
    <w:p w14:paraId="6857BCED">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2、合同执行中涉及采购资金和采购内容修改或补充的，须经政府采购监管部门审批，并签书面补充协议报政府采购监督管理部门备案，方可作为主合同不可分割的一部分。</w:t>
      </w:r>
    </w:p>
    <w:p w14:paraId="7384C7BA">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3、本合同一式XX份，自双方签章之日起起效。甲方XX份，乙方XX份，同级财政部门备案XX份，具有同等法律效力。</w:t>
      </w:r>
    </w:p>
    <w:p w14:paraId="6AAC3D02">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十一、</w:t>
      </w:r>
      <w:r>
        <w:rPr>
          <w:rFonts w:hint="eastAsia" w:ascii="仿宋" w:hAnsi="仿宋" w:eastAsia="仿宋" w:cs="仿宋"/>
          <w:color w:val="auto"/>
          <w:szCs w:val="21"/>
          <w:highlight w:val="none"/>
        </w:rPr>
        <w:t>附件</w:t>
      </w:r>
    </w:p>
    <w:p w14:paraId="3AE94F81">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1、项目谈判文件</w:t>
      </w:r>
    </w:p>
    <w:p w14:paraId="64972074">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2、项目修改澄清文件</w:t>
      </w:r>
    </w:p>
    <w:p w14:paraId="1B327F3D">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3、项目响应文件</w:t>
      </w:r>
    </w:p>
    <w:p w14:paraId="361D4383">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4、成交通知书</w:t>
      </w:r>
    </w:p>
    <w:p w14:paraId="7500E8AE">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5、其他</w:t>
      </w:r>
    </w:p>
    <w:p w14:paraId="30919EB3">
      <w:pPr>
        <w:widowControl/>
        <w:spacing w:line="400" w:lineRule="exact"/>
        <w:jc w:val="left"/>
        <w:rPr>
          <w:rFonts w:hint="eastAsia" w:ascii="仿宋" w:hAnsi="仿宋" w:eastAsia="仿宋" w:cs="仿宋"/>
          <w:color w:val="auto"/>
          <w:szCs w:val="21"/>
          <w:highlight w:val="none"/>
        </w:rPr>
      </w:pPr>
    </w:p>
    <w:p w14:paraId="69216C27">
      <w:pPr>
        <w:widowControl/>
        <w:spacing w:line="400" w:lineRule="exact"/>
        <w:jc w:val="left"/>
        <w:rPr>
          <w:rFonts w:hint="eastAsia" w:ascii="仿宋" w:hAnsi="仿宋" w:eastAsia="仿宋" w:cs="仿宋"/>
          <w:color w:val="auto"/>
          <w:szCs w:val="21"/>
          <w:highlight w:val="none"/>
        </w:rPr>
      </w:pPr>
    </w:p>
    <w:p w14:paraId="6FEC10F7">
      <w:pPr>
        <w:widowControl/>
        <w:spacing w:line="400" w:lineRule="exact"/>
        <w:jc w:val="left"/>
        <w:rPr>
          <w:rFonts w:hint="eastAsia" w:ascii="仿宋" w:hAnsi="仿宋" w:eastAsia="仿宋" w:cs="仿宋"/>
          <w:color w:val="auto"/>
          <w:szCs w:val="21"/>
          <w:highlight w:val="none"/>
        </w:rPr>
      </w:pPr>
    </w:p>
    <w:p w14:paraId="2B41264E">
      <w:pPr>
        <w:widowControl/>
        <w:spacing w:line="400" w:lineRule="exact"/>
        <w:jc w:val="left"/>
        <w:rPr>
          <w:rFonts w:hint="eastAsia" w:ascii="仿宋" w:hAnsi="仿宋" w:eastAsia="仿宋" w:cs="仿宋"/>
          <w:color w:val="auto"/>
          <w:szCs w:val="21"/>
          <w:highlight w:val="none"/>
        </w:rPr>
      </w:pPr>
    </w:p>
    <w:p w14:paraId="5145E881">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甲方名称（盖章）                              乙方名称（盖章）</w:t>
      </w:r>
    </w:p>
    <w:p w14:paraId="1E4B15EB">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法定代表人（负责人或授权代表）签字：          法定代表人（负责人或授权代表）签字：</w:t>
      </w:r>
    </w:p>
    <w:p w14:paraId="252BA187">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地址：                                        地址：</w:t>
      </w:r>
    </w:p>
    <w:p w14:paraId="00E70F31">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开户银行：                                    开户银行：</w:t>
      </w:r>
    </w:p>
    <w:p w14:paraId="7C7BAB9F">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账号：                                        账号：</w:t>
      </w:r>
    </w:p>
    <w:p w14:paraId="1963D045">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电话：                                        电话：</w:t>
      </w:r>
    </w:p>
    <w:p w14:paraId="370D2AF7">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日期：    年  月  日                          日期：    年  月  日</w:t>
      </w:r>
    </w:p>
    <w:p w14:paraId="4F59C279">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p>
    <w:p w14:paraId="5F7509DD">
      <w:pPr>
        <w:pStyle w:val="3"/>
        <w:spacing w:line="240" w:lineRule="auto"/>
        <w:jc w:val="center"/>
        <w:outlineLvl w:val="0"/>
        <w:rPr>
          <w:rFonts w:hint="eastAsia" w:ascii="仿宋" w:hAnsi="仿宋" w:eastAsia="仿宋" w:cs="仿宋"/>
          <w:color w:val="auto"/>
          <w:sz w:val="32"/>
          <w:szCs w:val="32"/>
          <w:highlight w:val="none"/>
          <w:lang w:eastAsia="zh-CN"/>
        </w:rPr>
      </w:pPr>
      <w:bookmarkStart w:id="45" w:name="_Toc18024"/>
      <w:bookmarkStart w:id="46" w:name="_Toc12001"/>
      <w:r>
        <w:rPr>
          <w:rFonts w:hint="eastAsia" w:ascii="仿宋" w:hAnsi="仿宋" w:eastAsia="仿宋" w:cs="仿宋"/>
          <w:color w:val="auto"/>
          <w:sz w:val="32"/>
          <w:szCs w:val="32"/>
          <w:highlight w:val="none"/>
        </w:rPr>
        <w:t>第</w:t>
      </w:r>
      <w:r>
        <w:rPr>
          <w:rFonts w:hint="eastAsia" w:ascii="仿宋" w:hAnsi="仿宋" w:eastAsia="仿宋" w:cs="仿宋"/>
          <w:color w:val="auto"/>
          <w:sz w:val="32"/>
          <w:szCs w:val="32"/>
          <w:highlight w:val="none"/>
          <w:lang w:eastAsia="zh-CN"/>
        </w:rPr>
        <w:t>十</w:t>
      </w:r>
      <w:r>
        <w:rPr>
          <w:rFonts w:hint="eastAsia" w:ascii="仿宋" w:hAnsi="仿宋" w:eastAsia="仿宋" w:cs="仿宋"/>
          <w:color w:val="auto"/>
          <w:sz w:val="32"/>
          <w:szCs w:val="32"/>
          <w:highlight w:val="none"/>
        </w:rPr>
        <w:t xml:space="preserve">章  </w:t>
      </w:r>
      <w:r>
        <w:rPr>
          <w:rFonts w:hint="eastAsia" w:ascii="仿宋" w:hAnsi="仿宋" w:eastAsia="仿宋" w:cs="仿宋"/>
          <w:color w:val="auto"/>
          <w:sz w:val="32"/>
          <w:szCs w:val="32"/>
          <w:highlight w:val="none"/>
          <w:lang w:eastAsia="zh-CN"/>
        </w:rPr>
        <w:t>附件</w:t>
      </w:r>
    </w:p>
    <w:p w14:paraId="1EE05D1A">
      <w:pPr>
        <w:pStyle w:val="3"/>
        <w:keepNext/>
        <w:keepLines/>
        <w:pageBreakBefore w:val="0"/>
        <w:widowControl w:val="0"/>
        <w:kinsoku/>
        <w:wordWrap/>
        <w:overflowPunct/>
        <w:topLinePunct w:val="0"/>
        <w:autoSpaceDE/>
        <w:autoSpaceDN/>
        <w:bidi w:val="0"/>
        <w:adjustRightInd/>
        <w:snapToGrid/>
        <w:spacing w:before="0" w:after="0" w:line="400" w:lineRule="exact"/>
        <w:ind w:left="0" w:hanging="2108" w:hangingChars="100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供应商报名登记表</w:t>
      </w:r>
      <w:bookmarkEnd w:id="45"/>
      <w:bookmarkEnd w:id="46"/>
    </w:p>
    <w:p w14:paraId="0EA6F3EA">
      <w:pPr>
        <w:rPr>
          <w:rFonts w:hint="eastAsia"/>
          <w:color w:val="auto"/>
          <w:highlight w:val="none"/>
        </w:rPr>
      </w:pPr>
    </w:p>
    <w:tbl>
      <w:tblPr>
        <w:tblStyle w:val="29"/>
        <w:tblW w:w="9725" w:type="dxa"/>
        <w:jc w:val="center"/>
        <w:tblLayout w:type="fixed"/>
        <w:tblCellMar>
          <w:top w:w="0" w:type="dxa"/>
          <w:left w:w="108" w:type="dxa"/>
          <w:bottom w:w="0" w:type="dxa"/>
          <w:right w:w="108" w:type="dxa"/>
        </w:tblCellMar>
      </w:tblPr>
      <w:tblGrid>
        <w:gridCol w:w="2156"/>
        <w:gridCol w:w="7569"/>
      </w:tblGrid>
      <w:tr w14:paraId="2B6C3273">
        <w:tblPrEx>
          <w:tblCellMar>
            <w:top w:w="0" w:type="dxa"/>
            <w:left w:w="108" w:type="dxa"/>
            <w:bottom w:w="0" w:type="dxa"/>
            <w:right w:w="108" w:type="dxa"/>
          </w:tblCellMar>
        </w:tblPrEx>
        <w:trPr>
          <w:trHeight w:val="854" w:hRule="atLeast"/>
          <w:jc w:val="center"/>
        </w:trPr>
        <w:tc>
          <w:tcPr>
            <w:tcW w:w="215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7F04C665">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项目编号(※）</w:t>
            </w:r>
          </w:p>
        </w:tc>
        <w:tc>
          <w:tcPr>
            <w:tcW w:w="756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28E8BC9C">
            <w:pPr>
              <w:spacing w:line="360" w:lineRule="auto"/>
              <w:jc w:val="center"/>
              <w:rPr>
                <w:rFonts w:hint="eastAsia" w:ascii="仿宋" w:hAnsi="仿宋" w:eastAsia="仿宋" w:cs="仿宋"/>
                <w:color w:val="auto"/>
                <w:sz w:val="21"/>
                <w:szCs w:val="21"/>
                <w:highlight w:val="none"/>
              </w:rPr>
            </w:pPr>
          </w:p>
        </w:tc>
      </w:tr>
      <w:tr w14:paraId="2F65E83C">
        <w:tblPrEx>
          <w:tblCellMar>
            <w:top w:w="0" w:type="dxa"/>
            <w:left w:w="108" w:type="dxa"/>
            <w:bottom w:w="0" w:type="dxa"/>
            <w:right w:w="108" w:type="dxa"/>
          </w:tblCellMar>
        </w:tblPrEx>
        <w:trPr>
          <w:trHeight w:val="704" w:hRule="atLeast"/>
          <w:jc w:val="center"/>
        </w:trPr>
        <w:tc>
          <w:tcPr>
            <w:tcW w:w="2156" w:type="dxa"/>
            <w:tcBorders>
              <w:top w:val="single" w:color="auto" w:sz="4" w:space="0"/>
              <w:left w:val="single" w:color="auto" w:sz="4" w:space="0"/>
              <w:bottom w:val="single" w:color="000000" w:sz="4" w:space="0"/>
              <w:right w:val="single" w:color="auto" w:sz="4" w:space="0"/>
            </w:tcBorders>
            <w:noWrap w:val="0"/>
            <w:tcMar>
              <w:top w:w="15" w:type="dxa"/>
              <w:left w:w="15" w:type="dxa"/>
              <w:bottom w:w="15" w:type="dxa"/>
              <w:right w:w="15" w:type="dxa"/>
            </w:tcMar>
            <w:vAlign w:val="center"/>
          </w:tcPr>
          <w:p w14:paraId="3DA1E2C4">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项目名称(※）</w:t>
            </w:r>
          </w:p>
        </w:tc>
        <w:tc>
          <w:tcPr>
            <w:tcW w:w="7569" w:type="dxa"/>
            <w:tcBorders>
              <w:top w:val="single" w:color="auto" w:sz="4" w:space="0"/>
              <w:left w:val="single" w:color="auto" w:sz="4" w:space="0"/>
              <w:bottom w:val="single" w:color="000000" w:sz="4" w:space="0"/>
              <w:right w:val="single" w:color="auto" w:sz="4" w:space="0"/>
            </w:tcBorders>
            <w:noWrap w:val="0"/>
            <w:tcMar>
              <w:top w:w="15" w:type="dxa"/>
              <w:left w:w="15" w:type="dxa"/>
              <w:bottom w:w="15" w:type="dxa"/>
              <w:right w:w="15" w:type="dxa"/>
            </w:tcMar>
            <w:vAlign w:val="center"/>
          </w:tcPr>
          <w:p w14:paraId="70DCEAF9">
            <w:pPr>
              <w:spacing w:line="360" w:lineRule="auto"/>
              <w:jc w:val="center"/>
              <w:rPr>
                <w:rFonts w:hint="eastAsia" w:ascii="仿宋" w:hAnsi="仿宋" w:eastAsia="仿宋" w:cs="仿宋"/>
                <w:color w:val="auto"/>
                <w:sz w:val="21"/>
                <w:szCs w:val="21"/>
                <w:highlight w:val="none"/>
              </w:rPr>
            </w:pPr>
          </w:p>
        </w:tc>
      </w:tr>
      <w:tr w14:paraId="255FBE9E">
        <w:tblPrEx>
          <w:tblCellMar>
            <w:top w:w="0" w:type="dxa"/>
            <w:left w:w="108" w:type="dxa"/>
            <w:bottom w:w="0" w:type="dxa"/>
            <w:right w:w="108" w:type="dxa"/>
          </w:tblCellMar>
        </w:tblPrEx>
        <w:trPr>
          <w:trHeight w:val="759" w:hRule="atLeast"/>
          <w:jc w:val="center"/>
        </w:trPr>
        <w:tc>
          <w:tcPr>
            <w:tcW w:w="2156"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7FDD594C">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单位名称(※）</w:t>
            </w:r>
          </w:p>
        </w:tc>
        <w:tc>
          <w:tcPr>
            <w:tcW w:w="7569"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14:paraId="1445FE03">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(加盖公章)</w:t>
            </w:r>
          </w:p>
        </w:tc>
      </w:tr>
      <w:tr w14:paraId="53511487">
        <w:tblPrEx>
          <w:tblCellMar>
            <w:top w:w="0" w:type="dxa"/>
            <w:left w:w="108" w:type="dxa"/>
            <w:bottom w:w="0" w:type="dxa"/>
            <w:right w:w="108" w:type="dxa"/>
          </w:tblCellMar>
        </w:tblPrEx>
        <w:trPr>
          <w:trHeight w:val="738" w:hRule="atLeast"/>
          <w:jc w:val="center"/>
        </w:trPr>
        <w:tc>
          <w:tcPr>
            <w:tcW w:w="215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E9B6FD6">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单位地址(※）</w:t>
            </w:r>
          </w:p>
        </w:tc>
        <w:tc>
          <w:tcPr>
            <w:tcW w:w="756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DCEEE36">
            <w:pPr>
              <w:spacing w:line="360" w:lineRule="auto"/>
              <w:jc w:val="center"/>
              <w:rPr>
                <w:rFonts w:hint="eastAsia" w:ascii="仿宋" w:hAnsi="仿宋" w:eastAsia="仿宋" w:cs="仿宋"/>
                <w:color w:val="auto"/>
                <w:sz w:val="21"/>
                <w:szCs w:val="21"/>
                <w:highlight w:val="none"/>
              </w:rPr>
            </w:pPr>
          </w:p>
        </w:tc>
      </w:tr>
      <w:tr w14:paraId="57F8CD59">
        <w:tblPrEx>
          <w:tblCellMar>
            <w:top w:w="0" w:type="dxa"/>
            <w:left w:w="108" w:type="dxa"/>
            <w:bottom w:w="0" w:type="dxa"/>
            <w:right w:w="108" w:type="dxa"/>
          </w:tblCellMar>
        </w:tblPrEx>
        <w:trPr>
          <w:trHeight w:val="677" w:hRule="atLeast"/>
          <w:jc w:val="center"/>
        </w:trPr>
        <w:tc>
          <w:tcPr>
            <w:tcW w:w="215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1AA9D6D">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购买文件时间(※）</w:t>
            </w:r>
          </w:p>
        </w:tc>
        <w:tc>
          <w:tcPr>
            <w:tcW w:w="756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DEF1602">
            <w:pPr>
              <w:spacing w:line="360" w:lineRule="auto"/>
              <w:jc w:val="center"/>
              <w:rPr>
                <w:rFonts w:hint="eastAsia" w:ascii="仿宋" w:hAnsi="仿宋" w:eastAsia="仿宋" w:cs="仿宋"/>
                <w:color w:val="auto"/>
                <w:sz w:val="21"/>
                <w:szCs w:val="21"/>
                <w:highlight w:val="none"/>
              </w:rPr>
            </w:pPr>
          </w:p>
        </w:tc>
      </w:tr>
      <w:tr w14:paraId="09B12BDB">
        <w:tblPrEx>
          <w:tblCellMar>
            <w:top w:w="0" w:type="dxa"/>
            <w:left w:w="108" w:type="dxa"/>
            <w:bottom w:w="0" w:type="dxa"/>
            <w:right w:w="108" w:type="dxa"/>
          </w:tblCellMar>
        </w:tblPrEx>
        <w:trPr>
          <w:trHeight w:val="650" w:hRule="atLeast"/>
          <w:jc w:val="center"/>
        </w:trPr>
        <w:tc>
          <w:tcPr>
            <w:tcW w:w="215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39DF12C">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包件号(※）</w:t>
            </w:r>
          </w:p>
        </w:tc>
        <w:tc>
          <w:tcPr>
            <w:tcW w:w="756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E68B1BA">
            <w:pPr>
              <w:spacing w:line="360" w:lineRule="auto"/>
              <w:jc w:val="center"/>
              <w:rPr>
                <w:rFonts w:hint="eastAsia" w:ascii="仿宋" w:hAnsi="仿宋" w:eastAsia="仿宋" w:cs="仿宋"/>
                <w:color w:val="auto"/>
                <w:sz w:val="21"/>
                <w:szCs w:val="21"/>
                <w:highlight w:val="none"/>
                <w:lang w:val="en-US" w:eastAsia="zh-CN"/>
              </w:rPr>
            </w:pPr>
          </w:p>
        </w:tc>
      </w:tr>
      <w:tr w14:paraId="428196F5">
        <w:tblPrEx>
          <w:tblCellMar>
            <w:top w:w="0" w:type="dxa"/>
            <w:left w:w="108" w:type="dxa"/>
            <w:bottom w:w="0" w:type="dxa"/>
            <w:right w:w="108" w:type="dxa"/>
          </w:tblCellMar>
        </w:tblPrEx>
        <w:trPr>
          <w:trHeight w:val="623" w:hRule="atLeast"/>
          <w:jc w:val="center"/>
        </w:trPr>
        <w:tc>
          <w:tcPr>
            <w:tcW w:w="215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2C3BFBE">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联系人(※）</w:t>
            </w:r>
          </w:p>
        </w:tc>
        <w:tc>
          <w:tcPr>
            <w:tcW w:w="756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BA49E1C">
            <w:pPr>
              <w:spacing w:line="360" w:lineRule="auto"/>
              <w:jc w:val="center"/>
              <w:rPr>
                <w:rFonts w:hint="eastAsia" w:ascii="仿宋" w:hAnsi="仿宋" w:eastAsia="仿宋" w:cs="仿宋"/>
                <w:color w:val="auto"/>
                <w:sz w:val="21"/>
                <w:szCs w:val="21"/>
                <w:highlight w:val="none"/>
              </w:rPr>
            </w:pPr>
          </w:p>
        </w:tc>
      </w:tr>
      <w:tr w14:paraId="0F45B9F9">
        <w:tblPrEx>
          <w:tblCellMar>
            <w:top w:w="0" w:type="dxa"/>
            <w:left w:w="108" w:type="dxa"/>
            <w:bottom w:w="0" w:type="dxa"/>
            <w:right w:w="108" w:type="dxa"/>
          </w:tblCellMar>
        </w:tblPrEx>
        <w:trPr>
          <w:trHeight w:val="704" w:hRule="atLeast"/>
          <w:jc w:val="center"/>
        </w:trPr>
        <w:tc>
          <w:tcPr>
            <w:tcW w:w="215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CEC837A">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单位固定电话</w:t>
            </w:r>
          </w:p>
        </w:tc>
        <w:tc>
          <w:tcPr>
            <w:tcW w:w="756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63A4440">
            <w:pPr>
              <w:spacing w:line="360" w:lineRule="auto"/>
              <w:jc w:val="center"/>
              <w:rPr>
                <w:rFonts w:hint="eastAsia" w:ascii="仿宋" w:hAnsi="仿宋" w:eastAsia="仿宋" w:cs="仿宋"/>
                <w:color w:val="auto"/>
                <w:sz w:val="21"/>
                <w:szCs w:val="21"/>
                <w:highlight w:val="none"/>
              </w:rPr>
            </w:pPr>
          </w:p>
        </w:tc>
      </w:tr>
      <w:tr w14:paraId="25F1625A">
        <w:tblPrEx>
          <w:tblCellMar>
            <w:top w:w="0" w:type="dxa"/>
            <w:left w:w="108" w:type="dxa"/>
            <w:bottom w:w="0" w:type="dxa"/>
            <w:right w:w="108" w:type="dxa"/>
          </w:tblCellMar>
        </w:tblPrEx>
        <w:trPr>
          <w:trHeight w:val="622" w:hRule="atLeast"/>
          <w:jc w:val="center"/>
        </w:trPr>
        <w:tc>
          <w:tcPr>
            <w:tcW w:w="215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6B1C8A2">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经办人移动电话(※）</w:t>
            </w:r>
          </w:p>
        </w:tc>
        <w:tc>
          <w:tcPr>
            <w:tcW w:w="756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D70F80B">
            <w:pPr>
              <w:spacing w:line="360" w:lineRule="auto"/>
              <w:jc w:val="center"/>
              <w:rPr>
                <w:rFonts w:hint="eastAsia" w:ascii="仿宋" w:hAnsi="仿宋" w:eastAsia="仿宋" w:cs="仿宋"/>
                <w:color w:val="auto"/>
                <w:sz w:val="21"/>
                <w:szCs w:val="21"/>
                <w:highlight w:val="none"/>
              </w:rPr>
            </w:pPr>
          </w:p>
        </w:tc>
      </w:tr>
      <w:tr w14:paraId="46DFC3B3">
        <w:tblPrEx>
          <w:tblCellMar>
            <w:top w:w="0" w:type="dxa"/>
            <w:left w:w="108" w:type="dxa"/>
            <w:bottom w:w="0" w:type="dxa"/>
            <w:right w:w="108" w:type="dxa"/>
          </w:tblCellMar>
        </w:tblPrEx>
        <w:trPr>
          <w:trHeight w:val="676" w:hRule="atLeast"/>
          <w:jc w:val="center"/>
        </w:trPr>
        <w:tc>
          <w:tcPr>
            <w:tcW w:w="215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F2EC39A">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单位传真</w:t>
            </w:r>
          </w:p>
        </w:tc>
        <w:tc>
          <w:tcPr>
            <w:tcW w:w="756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D744A3F">
            <w:pPr>
              <w:spacing w:line="360" w:lineRule="auto"/>
              <w:jc w:val="center"/>
              <w:rPr>
                <w:rFonts w:hint="eastAsia" w:ascii="仿宋" w:hAnsi="仿宋" w:eastAsia="仿宋" w:cs="仿宋"/>
                <w:color w:val="auto"/>
                <w:sz w:val="21"/>
                <w:szCs w:val="21"/>
                <w:highlight w:val="none"/>
              </w:rPr>
            </w:pPr>
          </w:p>
        </w:tc>
      </w:tr>
      <w:tr w14:paraId="38AE3937">
        <w:tblPrEx>
          <w:tblCellMar>
            <w:top w:w="0" w:type="dxa"/>
            <w:left w:w="108" w:type="dxa"/>
            <w:bottom w:w="0" w:type="dxa"/>
            <w:right w:w="108" w:type="dxa"/>
          </w:tblCellMar>
        </w:tblPrEx>
        <w:trPr>
          <w:trHeight w:val="595" w:hRule="atLeast"/>
          <w:jc w:val="center"/>
        </w:trPr>
        <w:tc>
          <w:tcPr>
            <w:tcW w:w="215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C904F8A">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电子邮箱(※）</w:t>
            </w:r>
          </w:p>
        </w:tc>
        <w:tc>
          <w:tcPr>
            <w:tcW w:w="756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334F6D1">
            <w:pPr>
              <w:spacing w:line="360" w:lineRule="auto"/>
              <w:jc w:val="center"/>
              <w:rPr>
                <w:rFonts w:hint="eastAsia" w:ascii="仿宋" w:hAnsi="仿宋" w:eastAsia="仿宋" w:cs="仿宋"/>
                <w:color w:val="auto"/>
                <w:sz w:val="21"/>
                <w:szCs w:val="21"/>
                <w:highlight w:val="none"/>
              </w:rPr>
            </w:pPr>
          </w:p>
        </w:tc>
      </w:tr>
      <w:tr w14:paraId="46C6888B">
        <w:tblPrEx>
          <w:tblCellMar>
            <w:top w:w="0" w:type="dxa"/>
            <w:left w:w="108" w:type="dxa"/>
            <w:bottom w:w="0" w:type="dxa"/>
            <w:right w:w="108" w:type="dxa"/>
          </w:tblCellMar>
        </w:tblPrEx>
        <w:trPr>
          <w:trHeight w:val="1505" w:hRule="atLeast"/>
          <w:jc w:val="center"/>
        </w:trPr>
        <w:tc>
          <w:tcPr>
            <w:tcW w:w="215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9F5BA6A">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    注</w:t>
            </w:r>
          </w:p>
        </w:tc>
        <w:tc>
          <w:tcPr>
            <w:tcW w:w="756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1B3A3705">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1、购买</w:t>
            </w:r>
            <w:r>
              <w:rPr>
                <w:rFonts w:hint="eastAsia" w:ascii="仿宋" w:hAnsi="仿宋" w:eastAsia="仿宋" w:cs="仿宋"/>
                <w:color w:val="auto"/>
                <w:sz w:val="21"/>
                <w:szCs w:val="21"/>
                <w:highlight w:val="none"/>
                <w:lang w:eastAsia="zh-CN"/>
              </w:rPr>
              <w:t>采购</w:t>
            </w:r>
            <w:r>
              <w:rPr>
                <w:rFonts w:hint="eastAsia" w:ascii="仿宋" w:hAnsi="仿宋" w:eastAsia="仿宋" w:cs="仿宋"/>
                <w:color w:val="auto"/>
                <w:sz w:val="21"/>
                <w:szCs w:val="21"/>
                <w:highlight w:val="none"/>
              </w:rPr>
              <w:t>文件时须携带如下合法有效的证件（原件）：</w:t>
            </w:r>
          </w:p>
          <w:p w14:paraId="46FC8894">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①本表（即供应商报名登记表）；</w:t>
            </w:r>
          </w:p>
          <w:p w14:paraId="6BF21566">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②供应商介绍信原件（加盖公章）；</w:t>
            </w:r>
          </w:p>
          <w:p w14:paraId="2ACAC0C9">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③供应商经办人身份证影印件（加盖公章）；</w:t>
            </w:r>
          </w:p>
          <w:p w14:paraId="30FC7871">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采用邮购方式的供应商请将上述资料电子版传至我司邮箱：</w:t>
            </w:r>
            <w:r>
              <w:rPr>
                <w:rFonts w:hint="eastAsia" w:ascii="仿宋" w:hAnsi="仿宋" w:eastAsia="仿宋" w:cs="仿宋"/>
                <w:color w:val="auto"/>
                <w:sz w:val="21"/>
                <w:szCs w:val="21"/>
                <w:highlight w:val="none"/>
                <w:lang w:val="en-US" w:eastAsia="zh-CN"/>
              </w:rPr>
              <w:t>scxygcxmgl@126.com</w:t>
            </w:r>
            <w:r>
              <w:rPr>
                <w:rFonts w:hint="eastAsia" w:ascii="仿宋" w:hAnsi="仿宋" w:eastAsia="仿宋" w:cs="仿宋"/>
                <w:color w:val="auto"/>
                <w:sz w:val="21"/>
                <w:szCs w:val="21"/>
                <w:highlight w:val="none"/>
              </w:rPr>
              <w:t>，联系电话：</w:t>
            </w:r>
            <w:r>
              <w:rPr>
                <w:rFonts w:hint="eastAsia" w:ascii="仿宋" w:hAnsi="仿宋" w:eastAsia="仿宋" w:cs="仿宋"/>
                <w:color w:val="auto"/>
                <w:sz w:val="21"/>
                <w:szCs w:val="21"/>
                <w:highlight w:val="none"/>
                <w:lang w:eastAsia="zh-CN"/>
              </w:rPr>
              <w:t>18180926606</w:t>
            </w:r>
            <w:r>
              <w:rPr>
                <w:rFonts w:hint="eastAsia" w:ascii="仿宋" w:hAnsi="仿宋" w:eastAsia="仿宋" w:cs="仿宋"/>
                <w:color w:val="auto"/>
                <w:sz w:val="21"/>
                <w:szCs w:val="21"/>
                <w:highlight w:val="none"/>
              </w:rPr>
              <w:t>。</w:t>
            </w:r>
          </w:p>
          <w:p w14:paraId="2D0E71A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2、带※号为必填项</w:t>
            </w:r>
            <w:r>
              <w:rPr>
                <w:rFonts w:hint="eastAsia" w:ascii="仿宋" w:hAnsi="仿宋" w:eastAsia="仿宋" w:cs="仿宋"/>
                <w:color w:val="auto"/>
                <w:sz w:val="21"/>
                <w:szCs w:val="21"/>
                <w:highlight w:val="none"/>
                <w:lang w:eastAsia="zh-CN"/>
              </w:rPr>
              <w:t>。</w:t>
            </w:r>
          </w:p>
        </w:tc>
      </w:tr>
    </w:tbl>
    <w:p w14:paraId="2D2D2D7D">
      <w:pPr>
        <w:pStyle w:val="61"/>
        <w:widowControl/>
        <w:spacing w:line="400" w:lineRule="exact"/>
        <w:ind w:firstLine="0" w:firstLineChars="0"/>
        <w:jc w:val="left"/>
        <w:rPr>
          <w:rFonts w:hint="eastAsia" w:ascii="仿宋" w:hAnsi="仿宋" w:eastAsia="仿宋" w:cs="仿宋"/>
          <w:color w:val="auto"/>
          <w:szCs w:val="21"/>
          <w:highlight w:val="none"/>
        </w:rPr>
      </w:pPr>
    </w:p>
    <w:bookmarkEnd w:id="41"/>
    <w:bookmarkEnd w:id="42"/>
    <w:p w14:paraId="2B1019C4">
      <w:pPr>
        <w:widowControl/>
        <w:jc w:val="left"/>
        <w:rPr>
          <w:rFonts w:hint="eastAsia" w:ascii="仿宋" w:hAnsi="仿宋" w:eastAsia="仿宋" w:cs="仿宋"/>
          <w:color w:val="auto"/>
          <w:szCs w:val="21"/>
          <w:highlight w:val="none"/>
        </w:rPr>
      </w:pPr>
    </w:p>
    <w:sectPr>
      <w:footerReference r:id="rId8" w:type="default"/>
      <w:pgSz w:w="11906" w:h="16838"/>
      <w:pgMar w:top="1440" w:right="1080" w:bottom="1440" w:left="108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2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长城仿宋">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MicrosoftYaHei">
    <w:altName w:val="Cambria"/>
    <w:panose1 w:val="00000000000000000000"/>
    <w:charset w:val="00"/>
    <w:family w:val="roman"/>
    <w:pitch w:val="default"/>
    <w:sig w:usb0="00000000" w:usb1="00000000" w:usb2="00000000" w:usb3="00000000" w:csb0="00040001" w:csb1="00000000"/>
  </w:font>
  <w:font w:name="Helvetica Neue">
    <w:altName w:val="Times New Roman"/>
    <w:panose1 w:val="02000503000000020004"/>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D0261">
    <w:pPr>
      <w:pStyle w:val="11"/>
      <w:jc w:val="center"/>
      <w:rPr>
        <w:rFonts w:ascii="微软雅黑" w:hAnsi="微软雅黑" w:eastAsia="微软雅黑"/>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D1E38">
    <w:pPr>
      <w:pStyle w:val="11"/>
      <w:jc w:val="center"/>
      <w:rPr>
        <w:rFonts w:ascii="微软雅黑" w:hAnsi="微软雅黑" w:eastAsia="微软雅黑"/>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0367E">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8F4FDF">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58F4FDF">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FA37F">
    <w:pPr>
      <w:pStyle w:val="11"/>
      <w:jc w:val="center"/>
      <w:rPr>
        <w:rFonts w:ascii="微软雅黑" w:hAnsi="微软雅黑" w:eastAsia="微软雅黑"/>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25B437">
                          <w:pPr>
                            <w:pStyle w:val="11"/>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A25B437">
                    <w:pPr>
                      <w:pStyle w:val="11"/>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EC924">
    <w:pPr>
      <w:pStyle w:val="18"/>
      <w:jc w:val="right"/>
      <w:rPr>
        <w:rFonts w:hint="eastAsia" w:ascii="仿宋" w:hAnsi="仿宋" w:eastAsia="仿宋" w:cs="仿宋"/>
      </w:rPr>
    </w:pPr>
    <w:r>
      <w:rPr>
        <w:rFonts w:hint="eastAsia" w:ascii="仿宋" w:hAnsi="仿宋" w:eastAsia="仿宋" w:cs="仿宋"/>
        <w:lang w:eastAsia="zh-CN"/>
      </w:rPr>
      <w:t>四川鑫益工程项目管理有限公司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2F063">
    <w:pPr>
      <w:pStyle w:val="18"/>
      <w:pBdr>
        <w:bottom w:val="none" w:color="auto" w:sz="0" w:space="1"/>
      </w:pBdr>
      <w:jc w:val="center"/>
      <w:rPr>
        <w:rFonts w:hint="eastAsia" w:eastAsia="宋体"/>
        <w:lang w:eastAsia="zh-CN"/>
      </w:rPr>
    </w:pPr>
    <w:r>
      <w:rPr>
        <w:rFonts w:hint="eastAsia" w:eastAsia="宋体"/>
        <w:lang w:eastAsia="zh-CN"/>
      </w:rPr>
      <w:drawing>
        <wp:inline distT="0" distB="0" distL="114300" distR="114300">
          <wp:extent cx="428625" cy="400685"/>
          <wp:effectExtent l="0" t="0" r="9525" b="1841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428625" cy="400685"/>
                  </a:xfrm>
                  <a:prstGeom prst="rect">
                    <a:avLst/>
                  </a:prstGeom>
                </pic:spPr>
              </pic:pic>
            </a:graphicData>
          </a:graphic>
        </wp:inline>
      </w:drawing>
    </w:r>
  </w:p>
  <w:p w14:paraId="0B911919">
    <w:pPr>
      <w:pStyle w:val="18"/>
      <w:pBdr>
        <w:bottom w:val="none" w:color="auto" w:sz="0" w:space="1"/>
      </w:pBdr>
      <w:jc w:val="center"/>
      <w:rPr>
        <w:rFonts w:hint="eastAsia" w:ascii="仿宋" w:hAnsi="仿宋" w:eastAsia="仿宋" w:cs="仿宋"/>
        <w:sz w:val="20"/>
        <w:szCs w:val="20"/>
        <w:lang w:val="en-US" w:eastAsia="zh-CN"/>
      </w:rPr>
    </w:pPr>
    <w:r>
      <w:rPr>
        <w:rFonts w:hint="eastAsia" w:ascii="仿宋" w:hAnsi="仿宋" w:eastAsia="仿宋" w:cs="仿宋"/>
        <w:sz w:val="20"/>
        <w:szCs w:val="20"/>
        <w:lang w:eastAsia="zh-CN"/>
      </w:rPr>
      <w:t>四川鑫益工程项目管理有限公司</w:t>
    </w:r>
  </w:p>
  <w:p w14:paraId="6309456F">
    <w:pPr>
      <w:pStyle w:val="18"/>
      <w:pBdr>
        <w:bottom w:val="none" w:color="auto" w:sz="0" w:space="1"/>
      </w:pBdr>
      <w:jc w:val="right"/>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12A27C"/>
    <w:multiLevelType w:val="singleLevel"/>
    <w:tmpl w:val="8612A27C"/>
    <w:lvl w:ilvl="0" w:tentative="0">
      <w:start w:val="1"/>
      <w:numFmt w:val="decimal"/>
      <w:lvlText w:val="(%1)"/>
      <w:lvlJc w:val="left"/>
      <w:pPr>
        <w:ind w:left="425" w:hanging="425"/>
      </w:pPr>
      <w:rPr>
        <w:rFonts w:hint="default"/>
      </w:rPr>
    </w:lvl>
  </w:abstractNum>
  <w:abstractNum w:abstractNumId="1">
    <w:nsid w:val="883B7E89"/>
    <w:multiLevelType w:val="multilevel"/>
    <w:tmpl w:val="883B7E8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9712B478"/>
    <w:multiLevelType w:val="multilevel"/>
    <w:tmpl w:val="9712B47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A93EE452"/>
    <w:multiLevelType w:val="singleLevel"/>
    <w:tmpl w:val="A93EE452"/>
    <w:lvl w:ilvl="0" w:tentative="0">
      <w:start w:val="1"/>
      <w:numFmt w:val="decimal"/>
      <w:lvlText w:val="(%1)"/>
      <w:lvlJc w:val="left"/>
      <w:pPr>
        <w:ind w:left="425" w:hanging="425"/>
      </w:pPr>
      <w:rPr>
        <w:rFonts w:hint="default"/>
      </w:rPr>
    </w:lvl>
  </w:abstractNum>
  <w:abstractNum w:abstractNumId="4">
    <w:nsid w:val="BC02B0BD"/>
    <w:multiLevelType w:val="singleLevel"/>
    <w:tmpl w:val="BC02B0BD"/>
    <w:lvl w:ilvl="0" w:tentative="0">
      <w:start w:val="1"/>
      <w:numFmt w:val="decimal"/>
      <w:lvlText w:val="(%1)"/>
      <w:lvlJc w:val="left"/>
      <w:pPr>
        <w:ind w:left="425" w:hanging="425"/>
      </w:pPr>
      <w:rPr>
        <w:rFonts w:hint="default"/>
      </w:rPr>
    </w:lvl>
  </w:abstractNum>
  <w:abstractNum w:abstractNumId="5">
    <w:nsid w:val="C791A797"/>
    <w:multiLevelType w:val="singleLevel"/>
    <w:tmpl w:val="C791A797"/>
    <w:lvl w:ilvl="0" w:tentative="0">
      <w:start w:val="1"/>
      <w:numFmt w:val="decimal"/>
      <w:suff w:val="space"/>
      <w:lvlText w:val="（%1）"/>
      <w:lvlJc w:val="left"/>
    </w:lvl>
  </w:abstractNum>
  <w:abstractNum w:abstractNumId="6">
    <w:nsid w:val="D772BBC1"/>
    <w:multiLevelType w:val="singleLevel"/>
    <w:tmpl w:val="D772BBC1"/>
    <w:lvl w:ilvl="0" w:tentative="0">
      <w:start w:val="1"/>
      <w:numFmt w:val="decimal"/>
      <w:lvlText w:val="%1."/>
      <w:lvlJc w:val="left"/>
      <w:pPr>
        <w:ind w:left="425" w:hanging="425"/>
      </w:pPr>
      <w:rPr>
        <w:rFonts w:hint="default"/>
      </w:rPr>
    </w:lvl>
  </w:abstractNum>
  <w:abstractNum w:abstractNumId="7">
    <w:nsid w:val="F34D1820"/>
    <w:multiLevelType w:val="singleLevel"/>
    <w:tmpl w:val="F34D1820"/>
    <w:lvl w:ilvl="0" w:tentative="0">
      <w:start w:val="1"/>
      <w:numFmt w:val="decimalEnclosedCircleChinese"/>
      <w:suff w:val="nothing"/>
      <w:lvlText w:val="%1　"/>
      <w:lvlJc w:val="left"/>
      <w:pPr>
        <w:ind w:left="0" w:firstLine="400"/>
      </w:pPr>
      <w:rPr>
        <w:rFonts w:hint="eastAsia"/>
      </w:rPr>
    </w:lvl>
  </w:abstractNum>
  <w:abstractNum w:abstractNumId="8">
    <w:nsid w:val="000742B4"/>
    <w:multiLevelType w:val="multilevel"/>
    <w:tmpl w:val="000742B4"/>
    <w:lvl w:ilvl="0" w:tentative="0">
      <w:start w:val="1"/>
      <w:numFmt w:val="upp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5D18FE"/>
    <w:multiLevelType w:val="multilevel"/>
    <w:tmpl w:val="005D18F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AA46640"/>
    <w:multiLevelType w:val="multilevel"/>
    <w:tmpl w:val="0AA46640"/>
    <w:lvl w:ilvl="0" w:tentative="0">
      <w:start w:val="1"/>
      <w:numFmt w:val="decimal"/>
      <w:lvlText w:val="%1)"/>
      <w:lvlJc w:val="left"/>
      <w:pPr>
        <w:ind w:left="420" w:hanging="420"/>
      </w:p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1">
    <w:nsid w:val="0C7E3A51"/>
    <w:multiLevelType w:val="multilevel"/>
    <w:tmpl w:val="0C7E3A51"/>
    <w:lvl w:ilvl="0" w:tentative="0">
      <w:start w:val="1"/>
      <w:numFmt w:val="decimal"/>
      <w:suff w:val="nothing"/>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2">
    <w:nsid w:val="176F383C"/>
    <w:multiLevelType w:val="multilevel"/>
    <w:tmpl w:val="176F383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A986DF2"/>
    <w:multiLevelType w:val="multilevel"/>
    <w:tmpl w:val="1A986DF2"/>
    <w:lvl w:ilvl="0" w:tentative="0">
      <w:start w:val="1"/>
      <w:numFmt w:val="decimal"/>
      <w:lvlText w:val="%1)"/>
      <w:lvlJc w:val="left"/>
      <w:pPr>
        <w:ind w:left="420" w:hanging="420"/>
      </w:p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4">
    <w:nsid w:val="2E966DC1"/>
    <w:multiLevelType w:val="multilevel"/>
    <w:tmpl w:val="2E966DC1"/>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5">
    <w:nsid w:val="30341566"/>
    <w:multiLevelType w:val="multilevel"/>
    <w:tmpl w:val="30341566"/>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1473B6A"/>
    <w:multiLevelType w:val="multilevel"/>
    <w:tmpl w:val="31473B6A"/>
    <w:lvl w:ilvl="0" w:tentative="0">
      <w:start w:val="1"/>
      <w:numFmt w:val="upp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3A15E2B8"/>
    <w:multiLevelType w:val="singleLevel"/>
    <w:tmpl w:val="3A15E2B8"/>
    <w:lvl w:ilvl="0" w:tentative="0">
      <w:start w:val="1"/>
      <w:numFmt w:val="decimal"/>
      <w:suff w:val="space"/>
      <w:lvlText w:val="（%1）"/>
      <w:lvlJc w:val="left"/>
    </w:lvl>
  </w:abstractNum>
  <w:abstractNum w:abstractNumId="18">
    <w:nsid w:val="4208613E"/>
    <w:multiLevelType w:val="multilevel"/>
    <w:tmpl w:val="4208613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46377E3A"/>
    <w:multiLevelType w:val="multilevel"/>
    <w:tmpl w:val="46377E3A"/>
    <w:lvl w:ilvl="0" w:tentative="0">
      <w:start w:val="1"/>
      <w:numFmt w:val="decimal"/>
      <w:lvlText w:val="%1)"/>
      <w:lvlJc w:val="left"/>
      <w:pPr>
        <w:ind w:left="420" w:hanging="420"/>
      </w:p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42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0">
    <w:nsid w:val="50D00973"/>
    <w:multiLevelType w:val="multilevel"/>
    <w:tmpl w:val="50D00973"/>
    <w:lvl w:ilvl="0" w:tentative="0">
      <w:start w:val="1"/>
      <w:numFmt w:val="decimal"/>
      <w:lvlText w:val="%1)"/>
      <w:lvlJc w:val="left"/>
      <w:pPr>
        <w:ind w:left="420" w:hanging="420"/>
      </w:p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1">
    <w:nsid w:val="593A33CC"/>
    <w:multiLevelType w:val="multilevel"/>
    <w:tmpl w:val="593A33CC"/>
    <w:lvl w:ilvl="0" w:tentative="0">
      <w:start w:val="1"/>
      <w:numFmt w:val="decimal"/>
      <w:suff w:val="space"/>
      <w:lvlText w:val="%1."/>
      <w:lvlJc w:val="left"/>
      <w:pPr>
        <w:ind w:left="425" w:hanging="425"/>
      </w:pPr>
    </w:lvl>
    <w:lvl w:ilvl="1" w:tentative="0">
      <w:start w:val="1"/>
      <w:numFmt w:val="decimal"/>
      <w:lvlText w:val="%1.%2."/>
      <w:lvlJc w:val="left"/>
      <w:pPr>
        <w:ind w:left="567" w:hanging="567"/>
      </w:pPr>
    </w:lvl>
    <w:lvl w:ilvl="2" w:tentative="0">
      <w:start w:val="1"/>
      <w:numFmt w:val="decimal"/>
      <w:suff w:val="space"/>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2">
    <w:nsid w:val="693CCCB4"/>
    <w:multiLevelType w:val="singleLevel"/>
    <w:tmpl w:val="693CCCB4"/>
    <w:lvl w:ilvl="0" w:tentative="0">
      <w:start w:val="1"/>
      <w:numFmt w:val="decimal"/>
      <w:lvlText w:val="(%1)"/>
      <w:lvlJc w:val="left"/>
      <w:pPr>
        <w:ind w:left="425" w:hanging="425"/>
      </w:pPr>
      <w:rPr>
        <w:rFonts w:hint="default"/>
      </w:rPr>
    </w:lvl>
  </w:abstractNum>
  <w:abstractNum w:abstractNumId="23">
    <w:nsid w:val="74453E77"/>
    <w:multiLevelType w:val="multilevel"/>
    <w:tmpl w:val="74453E77"/>
    <w:lvl w:ilvl="0" w:tentative="0">
      <w:start w:val="1"/>
      <w:numFmt w:val="decimal"/>
      <w:lvlText w:val="%1."/>
      <w:lvlJc w:val="left"/>
      <w:pPr>
        <w:ind w:left="425" w:hanging="425"/>
      </w:pPr>
      <w:rPr>
        <w:b/>
        <w:sz w:val="21"/>
        <w:szCs w:val="21"/>
      </w:rPr>
    </w:lvl>
    <w:lvl w:ilvl="1" w:tentative="0">
      <w:start w:val="1"/>
      <w:numFmt w:val="decimal"/>
      <w:lvlText w:val="%1.%2."/>
      <w:lvlJc w:val="left"/>
      <w:pPr>
        <w:ind w:left="567" w:hanging="567"/>
      </w:pPr>
      <w:rPr>
        <w:b w:val="0"/>
        <w:color w:val="000000" w:themeColor="text1"/>
        <w:sz w:val="21"/>
        <w:szCs w:val="21"/>
        <w14:textFill>
          <w14:solidFill>
            <w14:schemeClr w14:val="tx1"/>
          </w14:solidFill>
        </w14:textFill>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4">
    <w:nsid w:val="74997125"/>
    <w:multiLevelType w:val="multilevel"/>
    <w:tmpl w:val="7499712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C590898"/>
    <w:multiLevelType w:val="multilevel"/>
    <w:tmpl w:val="7C59089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3"/>
  </w:num>
  <w:num w:numId="2">
    <w:abstractNumId w:val="22"/>
  </w:num>
  <w:num w:numId="3">
    <w:abstractNumId w:val="7"/>
  </w:num>
  <w:num w:numId="4">
    <w:abstractNumId w:val="20"/>
  </w:num>
  <w:num w:numId="5">
    <w:abstractNumId w:val="19"/>
  </w:num>
  <w:num w:numId="6">
    <w:abstractNumId w:val="13"/>
  </w:num>
  <w:num w:numId="7">
    <w:abstractNumId w:val="10"/>
  </w:num>
  <w:num w:numId="8">
    <w:abstractNumId w:val="8"/>
  </w:num>
  <w:num w:numId="9">
    <w:abstractNumId w:val="9"/>
  </w:num>
  <w:num w:numId="10">
    <w:abstractNumId w:val="24"/>
  </w:num>
  <w:num w:numId="11">
    <w:abstractNumId w:val="6"/>
  </w:num>
  <w:num w:numId="12">
    <w:abstractNumId w:val="0"/>
  </w:num>
  <w:num w:numId="13">
    <w:abstractNumId w:val="15"/>
  </w:num>
  <w:num w:numId="14">
    <w:abstractNumId w:val="18"/>
  </w:num>
  <w:num w:numId="15">
    <w:abstractNumId w:val="2"/>
  </w:num>
  <w:num w:numId="16">
    <w:abstractNumId w:val="16"/>
  </w:num>
  <w:num w:numId="17">
    <w:abstractNumId w:val="25"/>
  </w:num>
  <w:num w:numId="18">
    <w:abstractNumId w:val="1"/>
  </w:num>
  <w:num w:numId="19">
    <w:abstractNumId w:val="11"/>
  </w:num>
  <w:num w:numId="20">
    <w:abstractNumId w:val="14"/>
  </w:num>
  <w:num w:numId="21">
    <w:abstractNumId w:val="12"/>
  </w:num>
  <w:num w:numId="22">
    <w:abstractNumId w:val="21"/>
  </w:num>
  <w:num w:numId="23">
    <w:abstractNumId w:val="5"/>
  </w:num>
  <w:num w:numId="24">
    <w:abstractNumId w:val="17"/>
  </w:num>
  <w:num w:numId="25">
    <w:abstractNumId w:val="4"/>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63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M5N2FjZjZhYmU4NGJkYWUxNGU4Y2IzMWI5NTU1ZjUifQ=="/>
    <w:docVar w:name="KSO_WPS_MARK_KEY" w:val="dfea25b3-059c-4326-8555-6a13d50e744b"/>
  </w:docVars>
  <w:rsids>
    <w:rsidRoot w:val="002E4A05"/>
    <w:rsid w:val="000013BF"/>
    <w:rsid w:val="0000301D"/>
    <w:rsid w:val="00005616"/>
    <w:rsid w:val="00012D93"/>
    <w:rsid w:val="00013A33"/>
    <w:rsid w:val="00014D3D"/>
    <w:rsid w:val="00017E34"/>
    <w:rsid w:val="0002066A"/>
    <w:rsid w:val="00022372"/>
    <w:rsid w:val="000233FE"/>
    <w:rsid w:val="000241F3"/>
    <w:rsid w:val="000255B9"/>
    <w:rsid w:val="00043FE9"/>
    <w:rsid w:val="00046C78"/>
    <w:rsid w:val="00061DD8"/>
    <w:rsid w:val="00073FBB"/>
    <w:rsid w:val="00074857"/>
    <w:rsid w:val="00075196"/>
    <w:rsid w:val="00085716"/>
    <w:rsid w:val="000950D3"/>
    <w:rsid w:val="000A2A88"/>
    <w:rsid w:val="000A38B4"/>
    <w:rsid w:val="000A479C"/>
    <w:rsid w:val="000C1095"/>
    <w:rsid w:val="000D2C39"/>
    <w:rsid w:val="000E0888"/>
    <w:rsid w:val="000E48F0"/>
    <w:rsid w:val="000F56A5"/>
    <w:rsid w:val="00120AEF"/>
    <w:rsid w:val="00122584"/>
    <w:rsid w:val="00141A35"/>
    <w:rsid w:val="00155B68"/>
    <w:rsid w:val="00160D03"/>
    <w:rsid w:val="001612A1"/>
    <w:rsid w:val="00165585"/>
    <w:rsid w:val="00165B27"/>
    <w:rsid w:val="001A0FA8"/>
    <w:rsid w:val="001A212D"/>
    <w:rsid w:val="001A32DB"/>
    <w:rsid w:val="001A7F0C"/>
    <w:rsid w:val="001C3543"/>
    <w:rsid w:val="001C5B3D"/>
    <w:rsid w:val="001D16D1"/>
    <w:rsid w:val="001D5A66"/>
    <w:rsid w:val="001E1573"/>
    <w:rsid w:val="001F0533"/>
    <w:rsid w:val="001F062E"/>
    <w:rsid w:val="001F569A"/>
    <w:rsid w:val="00200E33"/>
    <w:rsid w:val="00202F8B"/>
    <w:rsid w:val="00206920"/>
    <w:rsid w:val="00211FBF"/>
    <w:rsid w:val="00213A78"/>
    <w:rsid w:val="00215ACD"/>
    <w:rsid w:val="00215E2F"/>
    <w:rsid w:val="0022193F"/>
    <w:rsid w:val="0022292E"/>
    <w:rsid w:val="00244456"/>
    <w:rsid w:val="002554EB"/>
    <w:rsid w:val="00261863"/>
    <w:rsid w:val="00265395"/>
    <w:rsid w:val="00270C5D"/>
    <w:rsid w:val="00271277"/>
    <w:rsid w:val="00271C25"/>
    <w:rsid w:val="00273913"/>
    <w:rsid w:val="00276D9A"/>
    <w:rsid w:val="002A5E75"/>
    <w:rsid w:val="002A7282"/>
    <w:rsid w:val="002B6E5B"/>
    <w:rsid w:val="002C4EBE"/>
    <w:rsid w:val="002E30AC"/>
    <w:rsid w:val="002E3A3E"/>
    <w:rsid w:val="002E4A05"/>
    <w:rsid w:val="00302A09"/>
    <w:rsid w:val="003060E2"/>
    <w:rsid w:val="00320089"/>
    <w:rsid w:val="00321974"/>
    <w:rsid w:val="00324883"/>
    <w:rsid w:val="003261FA"/>
    <w:rsid w:val="00326FDD"/>
    <w:rsid w:val="00331359"/>
    <w:rsid w:val="0033499D"/>
    <w:rsid w:val="00335590"/>
    <w:rsid w:val="00343716"/>
    <w:rsid w:val="00364614"/>
    <w:rsid w:val="00371EEF"/>
    <w:rsid w:val="00372775"/>
    <w:rsid w:val="003876D2"/>
    <w:rsid w:val="003A6587"/>
    <w:rsid w:val="003A747B"/>
    <w:rsid w:val="003B2D83"/>
    <w:rsid w:val="003B38EE"/>
    <w:rsid w:val="003B6655"/>
    <w:rsid w:val="003D5EBB"/>
    <w:rsid w:val="003F08EE"/>
    <w:rsid w:val="003F53A2"/>
    <w:rsid w:val="00401738"/>
    <w:rsid w:val="00412746"/>
    <w:rsid w:val="004361E1"/>
    <w:rsid w:val="004368B9"/>
    <w:rsid w:val="00440C24"/>
    <w:rsid w:val="004451E8"/>
    <w:rsid w:val="004530B6"/>
    <w:rsid w:val="0046668C"/>
    <w:rsid w:val="00490E78"/>
    <w:rsid w:val="0049520E"/>
    <w:rsid w:val="004952E1"/>
    <w:rsid w:val="004A573D"/>
    <w:rsid w:val="004B441D"/>
    <w:rsid w:val="004B6776"/>
    <w:rsid w:val="004C5050"/>
    <w:rsid w:val="004D0CC2"/>
    <w:rsid w:val="004D7345"/>
    <w:rsid w:val="004E0B96"/>
    <w:rsid w:val="004E66AE"/>
    <w:rsid w:val="004F4B2F"/>
    <w:rsid w:val="004F699A"/>
    <w:rsid w:val="00514625"/>
    <w:rsid w:val="00520420"/>
    <w:rsid w:val="00520ED6"/>
    <w:rsid w:val="00535A37"/>
    <w:rsid w:val="005408A4"/>
    <w:rsid w:val="005519B1"/>
    <w:rsid w:val="00551E9A"/>
    <w:rsid w:val="0056143F"/>
    <w:rsid w:val="00564051"/>
    <w:rsid w:val="0057135B"/>
    <w:rsid w:val="00572FD2"/>
    <w:rsid w:val="0057469B"/>
    <w:rsid w:val="005867F1"/>
    <w:rsid w:val="00591390"/>
    <w:rsid w:val="005A7420"/>
    <w:rsid w:val="005B5360"/>
    <w:rsid w:val="005D1218"/>
    <w:rsid w:val="005D1AD8"/>
    <w:rsid w:val="005D4AF4"/>
    <w:rsid w:val="005D50DA"/>
    <w:rsid w:val="005E274D"/>
    <w:rsid w:val="005F7570"/>
    <w:rsid w:val="00613DDE"/>
    <w:rsid w:val="00623719"/>
    <w:rsid w:val="00623C9F"/>
    <w:rsid w:val="00624DEC"/>
    <w:rsid w:val="00627C15"/>
    <w:rsid w:val="00633605"/>
    <w:rsid w:val="006461B4"/>
    <w:rsid w:val="006529B0"/>
    <w:rsid w:val="006578E8"/>
    <w:rsid w:val="00661327"/>
    <w:rsid w:val="00661BFA"/>
    <w:rsid w:val="00672031"/>
    <w:rsid w:val="00684C2F"/>
    <w:rsid w:val="006904FB"/>
    <w:rsid w:val="006960A0"/>
    <w:rsid w:val="006A35D3"/>
    <w:rsid w:val="006B504B"/>
    <w:rsid w:val="006B7C99"/>
    <w:rsid w:val="006C26CF"/>
    <w:rsid w:val="006D3DD1"/>
    <w:rsid w:val="006D4703"/>
    <w:rsid w:val="006D7E8C"/>
    <w:rsid w:val="006E171E"/>
    <w:rsid w:val="006E530D"/>
    <w:rsid w:val="006E7BB2"/>
    <w:rsid w:val="006F08C6"/>
    <w:rsid w:val="006F3438"/>
    <w:rsid w:val="00700462"/>
    <w:rsid w:val="007204BC"/>
    <w:rsid w:val="00722B00"/>
    <w:rsid w:val="00726D9E"/>
    <w:rsid w:val="00727FF7"/>
    <w:rsid w:val="00730684"/>
    <w:rsid w:val="0073235A"/>
    <w:rsid w:val="0073678D"/>
    <w:rsid w:val="007371C3"/>
    <w:rsid w:val="00741059"/>
    <w:rsid w:val="00743775"/>
    <w:rsid w:val="00753A7E"/>
    <w:rsid w:val="007558EF"/>
    <w:rsid w:val="007573EC"/>
    <w:rsid w:val="00760549"/>
    <w:rsid w:val="00765306"/>
    <w:rsid w:val="00765F4A"/>
    <w:rsid w:val="00771B6F"/>
    <w:rsid w:val="0077323F"/>
    <w:rsid w:val="00783911"/>
    <w:rsid w:val="00786CA2"/>
    <w:rsid w:val="0078779A"/>
    <w:rsid w:val="00794374"/>
    <w:rsid w:val="007A43F5"/>
    <w:rsid w:val="007A5ADD"/>
    <w:rsid w:val="007A68F6"/>
    <w:rsid w:val="007B20FD"/>
    <w:rsid w:val="007D6BB3"/>
    <w:rsid w:val="007F5F75"/>
    <w:rsid w:val="007F7E4E"/>
    <w:rsid w:val="00800AEE"/>
    <w:rsid w:val="00821AB9"/>
    <w:rsid w:val="008316B4"/>
    <w:rsid w:val="00835216"/>
    <w:rsid w:val="0084408B"/>
    <w:rsid w:val="0085046D"/>
    <w:rsid w:val="00854F75"/>
    <w:rsid w:val="008670CB"/>
    <w:rsid w:val="008858E3"/>
    <w:rsid w:val="00894D09"/>
    <w:rsid w:val="00895298"/>
    <w:rsid w:val="008973DC"/>
    <w:rsid w:val="008C393B"/>
    <w:rsid w:val="008F1DA2"/>
    <w:rsid w:val="008F7D8B"/>
    <w:rsid w:val="00930408"/>
    <w:rsid w:val="00931518"/>
    <w:rsid w:val="00932094"/>
    <w:rsid w:val="009360F5"/>
    <w:rsid w:val="009407D0"/>
    <w:rsid w:val="00941B8A"/>
    <w:rsid w:val="00945D9D"/>
    <w:rsid w:val="00953AE6"/>
    <w:rsid w:val="0096672D"/>
    <w:rsid w:val="0097075B"/>
    <w:rsid w:val="009849DA"/>
    <w:rsid w:val="00991C74"/>
    <w:rsid w:val="009B385C"/>
    <w:rsid w:val="009B67C4"/>
    <w:rsid w:val="009B697C"/>
    <w:rsid w:val="009C5DE5"/>
    <w:rsid w:val="009C6D7F"/>
    <w:rsid w:val="009D0D91"/>
    <w:rsid w:val="009D3778"/>
    <w:rsid w:val="00A006FB"/>
    <w:rsid w:val="00A047E2"/>
    <w:rsid w:val="00A0772F"/>
    <w:rsid w:val="00A30BA3"/>
    <w:rsid w:val="00A36895"/>
    <w:rsid w:val="00A40E5E"/>
    <w:rsid w:val="00A42E67"/>
    <w:rsid w:val="00A6253A"/>
    <w:rsid w:val="00A634D9"/>
    <w:rsid w:val="00A76C70"/>
    <w:rsid w:val="00A80760"/>
    <w:rsid w:val="00A87DD9"/>
    <w:rsid w:val="00A93F08"/>
    <w:rsid w:val="00A96B1E"/>
    <w:rsid w:val="00AA3108"/>
    <w:rsid w:val="00AA4445"/>
    <w:rsid w:val="00AA56BC"/>
    <w:rsid w:val="00AA5DA2"/>
    <w:rsid w:val="00AB067F"/>
    <w:rsid w:val="00AB3A2C"/>
    <w:rsid w:val="00AC0DD2"/>
    <w:rsid w:val="00AC0F55"/>
    <w:rsid w:val="00AC246B"/>
    <w:rsid w:val="00AC4D98"/>
    <w:rsid w:val="00AC60C1"/>
    <w:rsid w:val="00AD2E2C"/>
    <w:rsid w:val="00AD2E79"/>
    <w:rsid w:val="00AE1CA1"/>
    <w:rsid w:val="00AE2857"/>
    <w:rsid w:val="00AE2F26"/>
    <w:rsid w:val="00AE55E7"/>
    <w:rsid w:val="00AE7D73"/>
    <w:rsid w:val="00AF531E"/>
    <w:rsid w:val="00B0297F"/>
    <w:rsid w:val="00B0416B"/>
    <w:rsid w:val="00B04BDF"/>
    <w:rsid w:val="00B0674E"/>
    <w:rsid w:val="00B15BDB"/>
    <w:rsid w:val="00B22DF7"/>
    <w:rsid w:val="00B24ECA"/>
    <w:rsid w:val="00B2581C"/>
    <w:rsid w:val="00B26324"/>
    <w:rsid w:val="00B37998"/>
    <w:rsid w:val="00B43985"/>
    <w:rsid w:val="00B477AB"/>
    <w:rsid w:val="00B6488B"/>
    <w:rsid w:val="00B72BE2"/>
    <w:rsid w:val="00B838D4"/>
    <w:rsid w:val="00B90D73"/>
    <w:rsid w:val="00B96B4C"/>
    <w:rsid w:val="00BA53B5"/>
    <w:rsid w:val="00BB0F98"/>
    <w:rsid w:val="00BB4554"/>
    <w:rsid w:val="00BC040B"/>
    <w:rsid w:val="00BD02F8"/>
    <w:rsid w:val="00BD1D2E"/>
    <w:rsid w:val="00BD232F"/>
    <w:rsid w:val="00BE0C70"/>
    <w:rsid w:val="00BE20B3"/>
    <w:rsid w:val="00BE706C"/>
    <w:rsid w:val="00BF3D2A"/>
    <w:rsid w:val="00C01A8D"/>
    <w:rsid w:val="00C04644"/>
    <w:rsid w:val="00C1437D"/>
    <w:rsid w:val="00C1631D"/>
    <w:rsid w:val="00C20DCE"/>
    <w:rsid w:val="00C2239C"/>
    <w:rsid w:val="00C231D0"/>
    <w:rsid w:val="00C2795F"/>
    <w:rsid w:val="00C30F85"/>
    <w:rsid w:val="00C32178"/>
    <w:rsid w:val="00C442A8"/>
    <w:rsid w:val="00C50459"/>
    <w:rsid w:val="00C64814"/>
    <w:rsid w:val="00C6491D"/>
    <w:rsid w:val="00C7226D"/>
    <w:rsid w:val="00C766A2"/>
    <w:rsid w:val="00C840B3"/>
    <w:rsid w:val="00C84486"/>
    <w:rsid w:val="00C862C8"/>
    <w:rsid w:val="00C93B71"/>
    <w:rsid w:val="00CA1E4D"/>
    <w:rsid w:val="00CB3ECD"/>
    <w:rsid w:val="00CC1166"/>
    <w:rsid w:val="00CC1384"/>
    <w:rsid w:val="00CD54A0"/>
    <w:rsid w:val="00CE3243"/>
    <w:rsid w:val="00CE4C48"/>
    <w:rsid w:val="00D06589"/>
    <w:rsid w:val="00D0737E"/>
    <w:rsid w:val="00D076DA"/>
    <w:rsid w:val="00D15B3C"/>
    <w:rsid w:val="00D17883"/>
    <w:rsid w:val="00D20C79"/>
    <w:rsid w:val="00D27924"/>
    <w:rsid w:val="00D434D2"/>
    <w:rsid w:val="00D51327"/>
    <w:rsid w:val="00D5768C"/>
    <w:rsid w:val="00D619D1"/>
    <w:rsid w:val="00D63621"/>
    <w:rsid w:val="00D7606E"/>
    <w:rsid w:val="00D82494"/>
    <w:rsid w:val="00D96489"/>
    <w:rsid w:val="00D97756"/>
    <w:rsid w:val="00DB0BBC"/>
    <w:rsid w:val="00DB3F91"/>
    <w:rsid w:val="00DC1586"/>
    <w:rsid w:val="00DC25E2"/>
    <w:rsid w:val="00DC39D8"/>
    <w:rsid w:val="00DC5328"/>
    <w:rsid w:val="00DD0AFA"/>
    <w:rsid w:val="00DD1803"/>
    <w:rsid w:val="00DD438F"/>
    <w:rsid w:val="00DD6D77"/>
    <w:rsid w:val="00DD6E20"/>
    <w:rsid w:val="00DD743C"/>
    <w:rsid w:val="00DE0684"/>
    <w:rsid w:val="00DE4371"/>
    <w:rsid w:val="00DE4471"/>
    <w:rsid w:val="00DE4EF0"/>
    <w:rsid w:val="00DF0AF7"/>
    <w:rsid w:val="00DF7767"/>
    <w:rsid w:val="00DF7BDF"/>
    <w:rsid w:val="00E51DDF"/>
    <w:rsid w:val="00E72E38"/>
    <w:rsid w:val="00E81F14"/>
    <w:rsid w:val="00E82F31"/>
    <w:rsid w:val="00E836A6"/>
    <w:rsid w:val="00E858D1"/>
    <w:rsid w:val="00E9429F"/>
    <w:rsid w:val="00EB0E9C"/>
    <w:rsid w:val="00EC1D3D"/>
    <w:rsid w:val="00EC1ED8"/>
    <w:rsid w:val="00EC4EF7"/>
    <w:rsid w:val="00EC55F9"/>
    <w:rsid w:val="00EE3B1C"/>
    <w:rsid w:val="00EE48E2"/>
    <w:rsid w:val="00EF474B"/>
    <w:rsid w:val="00F3589C"/>
    <w:rsid w:val="00F45609"/>
    <w:rsid w:val="00F47A62"/>
    <w:rsid w:val="00F51EB0"/>
    <w:rsid w:val="00F53163"/>
    <w:rsid w:val="00F531BF"/>
    <w:rsid w:val="00F63655"/>
    <w:rsid w:val="00F66031"/>
    <w:rsid w:val="00F73FDF"/>
    <w:rsid w:val="00F76CD5"/>
    <w:rsid w:val="00F819E8"/>
    <w:rsid w:val="00F83EE7"/>
    <w:rsid w:val="00F85B02"/>
    <w:rsid w:val="00F91CB3"/>
    <w:rsid w:val="00F91D5A"/>
    <w:rsid w:val="00F957C5"/>
    <w:rsid w:val="00FA0C0D"/>
    <w:rsid w:val="00FA3A53"/>
    <w:rsid w:val="00FC21AD"/>
    <w:rsid w:val="00FE5F9C"/>
    <w:rsid w:val="01850EAF"/>
    <w:rsid w:val="018E29B6"/>
    <w:rsid w:val="01B879F4"/>
    <w:rsid w:val="01F96671"/>
    <w:rsid w:val="02020850"/>
    <w:rsid w:val="02374293"/>
    <w:rsid w:val="024A2EAE"/>
    <w:rsid w:val="02D154F8"/>
    <w:rsid w:val="030B27C9"/>
    <w:rsid w:val="034D74E5"/>
    <w:rsid w:val="035F38AA"/>
    <w:rsid w:val="038F265D"/>
    <w:rsid w:val="03EA0013"/>
    <w:rsid w:val="0422292F"/>
    <w:rsid w:val="047A66D4"/>
    <w:rsid w:val="04D853CA"/>
    <w:rsid w:val="05D67B88"/>
    <w:rsid w:val="05DD246D"/>
    <w:rsid w:val="064776B0"/>
    <w:rsid w:val="0651476C"/>
    <w:rsid w:val="06A411DD"/>
    <w:rsid w:val="06B70AD2"/>
    <w:rsid w:val="0765648C"/>
    <w:rsid w:val="07893A95"/>
    <w:rsid w:val="0806390A"/>
    <w:rsid w:val="083D7F76"/>
    <w:rsid w:val="08510EF1"/>
    <w:rsid w:val="089D4136"/>
    <w:rsid w:val="08F30B60"/>
    <w:rsid w:val="09125A9C"/>
    <w:rsid w:val="093424EE"/>
    <w:rsid w:val="097A1E7C"/>
    <w:rsid w:val="09862E1C"/>
    <w:rsid w:val="0990092D"/>
    <w:rsid w:val="09A440EF"/>
    <w:rsid w:val="09DA6CC4"/>
    <w:rsid w:val="0A0F4281"/>
    <w:rsid w:val="0A453785"/>
    <w:rsid w:val="0AB404DD"/>
    <w:rsid w:val="0BC15D8A"/>
    <w:rsid w:val="0C160487"/>
    <w:rsid w:val="0C6A432F"/>
    <w:rsid w:val="0D020A0B"/>
    <w:rsid w:val="0D1E7B52"/>
    <w:rsid w:val="0D2A2149"/>
    <w:rsid w:val="0DC422B4"/>
    <w:rsid w:val="0DDF16F7"/>
    <w:rsid w:val="0E55232D"/>
    <w:rsid w:val="0EC2277E"/>
    <w:rsid w:val="0F006472"/>
    <w:rsid w:val="0F741966"/>
    <w:rsid w:val="0F865D67"/>
    <w:rsid w:val="0FA37386"/>
    <w:rsid w:val="0FF33E32"/>
    <w:rsid w:val="10000FF1"/>
    <w:rsid w:val="10101691"/>
    <w:rsid w:val="10B416E8"/>
    <w:rsid w:val="10E24DDC"/>
    <w:rsid w:val="1105164E"/>
    <w:rsid w:val="110C4888"/>
    <w:rsid w:val="115F4F01"/>
    <w:rsid w:val="11AB719A"/>
    <w:rsid w:val="11D11806"/>
    <w:rsid w:val="11DA528C"/>
    <w:rsid w:val="121E62E8"/>
    <w:rsid w:val="126779FF"/>
    <w:rsid w:val="12B30BFF"/>
    <w:rsid w:val="1385425A"/>
    <w:rsid w:val="13B862C8"/>
    <w:rsid w:val="14031D5C"/>
    <w:rsid w:val="14985134"/>
    <w:rsid w:val="14E16240"/>
    <w:rsid w:val="157F1549"/>
    <w:rsid w:val="15805D8D"/>
    <w:rsid w:val="159C2EF4"/>
    <w:rsid w:val="15BE3DC2"/>
    <w:rsid w:val="15D9733E"/>
    <w:rsid w:val="16257519"/>
    <w:rsid w:val="16731474"/>
    <w:rsid w:val="167D1103"/>
    <w:rsid w:val="16BE1E47"/>
    <w:rsid w:val="1740460A"/>
    <w:rsid w:val="174D3A13"/>
    <w:rsid w:val="177E473D"/>
    <w:rsid w:val="179D6D60"/>
    <w:rsid w:val="17AD77C6"/>
    <w:rsid w:val="17C4348D"/>
    <w:rsid w:val="186E7CC7"/>
    <w:rsid w:val="1873588B"/>
    <w:rsid w:val="187C7D02"/>
    <w:rsid w:val="18F00070"/>
    <w:rsid w:val="191A70DD"/>
    <w:rsid w:val="194523AC"/>
    <w:rsid w:val="19714295"/>
    <w:rsid w:val="19C21FF7"/>
    <w:rsid w:val="19E636C9"/>
    <w:rsid w:val="19EF02B5"/>
    <w:rsid w:val="19F32E71"/>
    <w:rsid w:val="1AC92B69"/>
    <w:rsid w:val="1AED409F"/>
    <w:rsid w:val="1AF60779"/>
    <w:rsid w:val="1B4E0083"/>
    <w:rsid w:val="1BAF1D5E"/>
    <w:rsid w:val="1BB00415"/>
    <w:rsid w:val="1BB27AA1"/>
    <w:rsid w:val="1BDE43F2"/>
    <w:rsid w:val="1C0954E1"/>
    <w:rsid w:val="1C2227B5"/>
    <w:rsid w:val="1C2A5889"/>
    <w:rsid w:val="1C3914EE"/>
    <w:rsid w:val="1C9334BD"/>
    <w:rsid w:val="1CC7132A"/>
    <w:rsid w:val="1DD102DC"/>
    <w:rsid w:val="1DFB74DD"/>
    <w:rsid w:val="1E087E4C"/>
    <w:rsid w:val="1E1C59D8"/>
    <w:rsid w:val="1E766E25"/>
    <w:rsid w:val="1ECD32A4"/>
    <w:rsid w:val="1F4A7B38"/>
    <w:rsid w:val="1F5D7D23"/>
    <w:rsid w:val="1F8F2148"/>
    <w:rsid w:val="1F9B3610"/>
    <w:rsid w:val="1FAE2FBF"/>
    <w:rsid w:val="205C7FDB"/>
    <w:rsid w:val="207812B9"/>
    <w:rsid w:val="2079293B"/>
    <w:rsid w:val="20960776"/>
    <w:rsid w:val="20E61BEC"/>
    <w:rsid w:val="20E8637C"/>
    <w:rsid w:val="20F01385"/>
    <w:rsid w:val="21C347B6"/>
    <w:rsid w:val="21DD3C53"/>
    <w:rsid w:val="220F2B00"/>
    <w:rsid w:val="235E364C"/>
    <w:rsid w:val="24213366"/>
    <w:rsid w:val="242700BC"/>
    <w:rsid w:val="247F1866"/>
    <w:rsid w:val="255D42F3"/>
    <w:rsid w:val="2587071B"/>
    <w:rsid w:val="25BD02D9"/>
    <w:rsid w:val="25C00E17"/>
    <w:rsid w:val="262763F7"/>
    <w:rsid w:val="26A41FD3"/>
    <w:rsid w:val="26C568DA"/>
    <w:rsid w:val="26CD076A"/>
    <w:rsid w:val="26F32E9A"/>
    <w:rsid w:val="27B356C4"/>
    <w:rsid w:val="27B84B3D"/>
    <w:rsid w:val="27CA1E87"/>
    <w:rsid w:val="28960C8B"/>
    <w:rsid w:val="29323148"/>
    <w:rsid w:val="294E7287"/>
    <w:rsid w:val="29542197"/>
    <w:rsid w:val="29B95B82"/>
    <w:rsid w:val="2A087AB4"/>
    <w:rsid w:val="2A193CE8"/>
    <w:rsid w:val="2AB66679"/>
    <w:rsid w:val="2B0100C6"/>
    <w:rsid w:val="2B037147"/>
    <w:rsid w:val="2B0D6FF4"/>
    <w:rsid w:val="2B3C39C4"/>
    <w:rsid w:val="2B490353"/>
    <w:rsid w:val="2BEA248F"/>
    <w:rsid w:val="2C3E3082"/>
    <w:rsid w:val="2CD555AC"/>
    <w:rsid w:val="2CE74E9C"/>
    <w:rsid w:val="2CE755A3"/>
    <w:rsid w:val="2CF36EB1"/>
    <w:rsid w:val="2CFD09AC"/>
    <w:rsid w:val="2D2E011E"/>
    <w:rsid w:val="2D3D5085"/>
    <w:rsid w:val="2D3E0CCC"/>
    <w:rsid w:val="2D4C00D5"/>
    <w:rsid w:val="2D5F4058"/>
    <w:rsid w:val="2DC45100"/>
    <w:rsid w:val="2E363764"/>
    <w:rsid w:val="2E424C8B"/>
    <w:rsid w:val="2E5E221D"/>
    <w:rsid w:val="2E6A3E47"/>
    <w:rsid w:val="2E6E0C87"/>
    <w:rsid w:val="2E734F10"/>
    <w:rsid w:val="2E8F2224"/>
    <w:rsid w:val="2F290205"/>
    <w:rsid w:val="2F9C5AF8"/>
    <w:rsid w:val="2F9D0922"/>
    <w:rsid w:val="2FDE6C5E"/>
    <w:rsid w:val="30084414"/>
    <w:rsid w:val="301A22A0"/>
    <w:rsid w:val="30BA7B73"/>
    <w:rsid w:val="31247D94"/>
    <w:rsid w:val="312F0B59"/>
    <w:rsid w:val="31A725A7"/>
    <w:rsid w:val="31C6096E"/>
    <w:rsid w:val="32616E32"/>
    <w:rsid w:val="33207977"/>
    <w:rsid w:val="3326174A"/>
    <w:rsid w:val="33896B36"/>
    <w:rsid w:val="346E1A97"/>
    <w:rsid w:val="34CC4359"/>
    <w:rsid w:val="353D61D5"/>
    <w:rsid w:val="35827CEA"/>
    <w:rsid w:val="361E339A"/>
    <w:rsid w:val="36231712"/>
    <w:rsid w:val="37281F25"/>
    <w:rsid w:val="372959CE"/>
    <w:rsid w:val="373B4170"/>
    <w:rsid w:val="375F47CC"/>
    <w:rsid w:val="38E33925"/>
    <w:rsid w:val="38F17A02"/>
    <w:rsid w:val="39496AF9"/>
    <w:rsid w:val="39765215"/>
    <w:rsid w:val="39766A08"/>
    <w:rsid w:val="3ACD0043"/>
    <w:rsid w:val="3B0524E8"/>
    <w:rsid w:val="3B4B3671"/>
    <w:rsid w:val="3BE118FE"/>
    <w:rsid w:val="3BF70FFA"/>
    <w:rsid w:val="3BFA4B07"/>
    <w:rsid w:val="3C0E3430"/>
    <w:rsid w:val="3C1E49BD"/>
    <w:rsid w:val="3C3B5F7C"/>
    <w:rsid w:val="3C74746D"/>
    <w:rsid w:val="3C8B285E"/>
    <w:rsid w:val="3D263B11"/>
    <w:rsid w:val="3D656B40"/>
    <w:rsid w:val="3D7967A4"/>
    <w:rsid w:val="3DAD38D3"/>
    <w:rsid w:val="3DC02975"/>
    <w:rsid w:val="3DE6740A"/>
    <w:rsid w:val="3E1F182A"/>
    <w:rsid w:val="3E3B2AFD"/>
    <w:rsid w:val="3E756D40"/>
    <w:rsid w:val="40432F2D"/>
    <w:rsid w:val="40B437EF"/>
    <w:rsid w:val="40D418BB"/>
    <w:rsid w:val="40E503E5"/>
    <w:rsid w:val="41D614EA"/>
    <w:rsid w:val="424E1A22"/>
    <w:rsid w:val="42B224F0"/>
    <w:rsid w:val="435B7EB3"/>
    <w:rsid w:val="436037BB"/>
    <w:rsid w:val="437470F1"/>
    <w:rsid w:val="4421065F"/>
    <w:rsid w:val="44672F1A"/>
    <w:rsid w:val="4467501D"/>
    <w:rsid w:val="44B00772"/>
    <w:rsid w:val="45FE3378"/>
    <w:rsid w:val="46A67880"/>
    <w:rsid w:val="46CC1167"/>
    <w:rsid w:val="4701087D"/>
    <w:rsid w:val="4714168E"/>
    <w:rsid w:val="47331F9F"/>
    <w:rsid w:val="47A776AD"/>
    <w:rsid w:val="47C456FE"/>
    <w:rsid w:val="47EC759F"/>
    <w:rsid w:val="48AE7515"/>
    <w:rsid w:val="49162EA1"/>
    <w:rsid w:val="494459F0"/>
    <w:rsid w:val="49731ACF"/>
    <w:rsid w:val="49E0273F"/>
    <w:rsid w:val="4A1470AD"/>
    <w:rsid w:val="4A356E78"/>
    <w:rsid w:val="4A3E237C"/>
    <w:rsid w:val="4A6E2C61"/>
    <w:rsid w:val="4B002E76"/>
    <w:rsid w:val="4B1A157A"/>
    <w:rsid w:val="4BA6467C"/>
    <w:rsid w:val="4BAC08E7"/>
    <w:rsid w:val="4BE45EE3"/>
    <w:rsid w:val="4BEE392E"/>
    <w:rsid w:val="4C0F3FD0"/>
    <w:rsid w:val="4D0E24D9"/>
    <w:rsid w:val="4D3D4B6D"/>
    <w:rsid w:val="4D833D59"/>
    <w:rsid w:val="4EDC193B"/>
    <w:rsid w:val="4F26750A"/>
    <w:rsid w:val="4FA919B3"/>
    <w:rsid w:val="4FAE58AE"/>
    <w:rsid w:val="4FCF0C9F"/>
    <w:rsid w:val="4FD578D7"/>
    <w:rsid w:val="4FFB5992"/>
    <w:rsid w:val="505508C7"/>
    <w:rsid w:val="513444D8"/>
    <w:rsid w:val="528840A5"/>
    <w:rsid w:val="52A03BD4"/>
    <w:rsid w:val="52FD496C"/>
    <w:rsid w:val="534E5A6D"/>
    <w:rsid w:val="53607807"/>
    <w:rsid w:val="53EC59C1"/>
    <w:rsid w:val="542645AC"/>
    <w:rsid w:val="54273E81"/>
    <w:rsid w:val="54490876"/>
    <w:rsid w:val="5463310B"/>
    <w:rsid w:val="549620A8"/>
    <w:rsid w:val="54D1488D"/>
    <w:rsid w:val="54EA2054"/>
    <w:rsid w:val="54FB6230"/>
    <w:rsid w:val="54FD480B"/>
    <w:rsid w:val="5595617E"/>
    <w:rsid w:val="5597650F"/>
    <w:rsid w:val="56112F2F"/>
    <w:rsid w:val="56C81B42"/>
    <w:rsid w:val="56E93864"/>
    <w:rsid w:val="56F15360"/>
    <w:rsid w:val="573E74AA"/>
    <w:rsid w:val="579D2DD8"/>
    <w:rsid w:val="58312F46"/>
    <w:rsid w:val="584712E4"/>
    <w:rsid w:val="587F2A05"/>
    <w:rsid w:val="58B103A4"/>
    <w:rsid w:val="59351858"/>
    <w:rsid w:val="59CB4A2C"/>
    <w:rsid w:val="59D4163A"/>
    <w:rsid w:val="59D91B86"/>
    <w:rsid w:val="5A11498D"/>
    <w:rsid w:val="5A187B26"/>
    <w:rsid w:val="5A3E1CDF"/>
    <w:rsid w:val="5A4F17D5"/>
    <w:rsid w:val="5A5963A4"/>
    <w:rsid w:val="5A7114E5"/>
    <w:rsid w:val="5ABF4CEB"/>
    <w:rsid w:val="5AC429C5"/>
    <w:rsid w:val="5C3F26AF"/>
    <w:rsid w:val="5DD23877"/>
    <w:rsid w:val="5E3112DD"/>
    <w:rsid w:val="5E607042"/>
    <w:rsid w:val="5E6332CE"/>
    <w:rsid w:val="5E9A7FEE"/>
    <w:rsid w:val="5EAE58CA"/>
    <w:rsid w:val="5F747351"/>
    <w:rsid w:val="5FE5531C"/>
    <w:rsid w:val="60021FC7"/>
    <w:rsid w:val="600734E4"/>
    <w:rsid w:val="60411A37"/>
    <w:rsid w:val="605E48C5"/>
    <w:rsid w:val="609D7766"/>
    <w:rsid w:val="60DE0C51"/>
    <w:rsid w:val="6134076D"/>
    <w:rsid w:val="615D0EE2"/>
    <w:rsid w:val="61631617"/>
    <w:rsid w:val="61B5434B"/>
    <w:rsid w:val="627A1002"/>
    <w:rsid w:val="62973241"/>
    <w:rsid w:val="62F9296A"/>
    <w:rsid w:val="634C78AB"/>
    <w:rsid w:val="63716EC6"/>
    <w:rsid w:val="63A2271E"/>
    <w:rsid w:val="63B50788"/>
    <w:rsid w:val="63D77671"/>
    <w:rsid w:val="65183A9D"/>
    <w:rsid w:val="65230D6E"/>
    <w:rsid w:val="652C4386"/>
    <w:rsid w:val="668A166A"/>
    <w:rsid w:val="66C2508E"/>
    <w:rsid w:val="6732696D"/>
    <w:rsid w:val="67AC3CA3"/>
    <w:rsid w:val="67E7585C"/>
    <w:rsid w:val="6861124B"/>
    <w:rsid w:val="68E4264E"/>
    <w:rsid w:val="6A0961EA"/>
    <w:rsid w:val="6A48570C"/>
    <w:rsid w:val="6A5B24CC"/>
    <w:rsid w:val="6A6743D2"/>
    <w:rsid w:val="6A9642F1"/>
    <w:rsid w:val="6AB447A5"/>
    <w:rsid w:val="6AC976D4"/>
    <w:rsid w:val="6B2B150B"/>
    <w:rsid w:val="6B9F0F6C"/>
    <w:rsid w:val="6C0C59DE"/>
    <w:rsid w:val="6C0F36E0"/>
    <w:rsid w:val="6CA6353C"/>
    <w:rsid w:val="6CD41667"/>
    <w:rsid w:val="6D1E01B4"/>
    <w:rsid w:val="6DA67CAC"/>
    <w:rsid w:val="6E5D0491"/>
    <w:rsid w:val="6E760663"/>
    <w:rsid w:val="6ED253ED"/>
    <w:rsid w:val="6F4470EF"/>
    <w:rsid w:val="6F5B23CC"/>
    <w:rsid w:val="6FBB3203"/>
    <w:rsid w:val="6FCE721F"/>
    <w:rsid w:val="70A51666"/>
    <w:rsid w:val="70C572DB"/>
    <w:rsid w:val="71373887"/>
    <w:rsid w:val="71554E3D"/>
    <w:rsid w:val="71783F3D"/>
    <w:rsid w:val="71AC01E3"/>
    <w:rsid w:val="72B14697"/>
    <w:rsid w:val="72DD0F56"/>
    <w:rsid w:val="72DE5D65"/>
    <w:rsid w:val="742F30F7"/>
    <w:rsid w:val="74754082"/>
    <w:rsid w:val="74AC4202"/>
    <w:rsid w:val="74B06C06"/>
    <w:rsid w:val="75104DFA"/>
    <w:rsid w:val="7565677A"/>
    <w:rsid w:val="75BE5729"/>
    <w:rsid w:val="75E654F2"/>
    <w:rsid w:val="76024F88"/>
    <w:rsid w:val="764112DA"/>
    <w:rsid w:val="76BB222C"/>
    <w:rsid w:val="77013B80"/>
    <w:rsid w:val="772750BF"/>
    <w:rsid w:val="774070AC"/>
    <w:rsid w:val="77D805F9"/>
    <w:rsid w:val="78345DDA"/>
    <w:rsid w:val="792E02AB"/>
    <w:rsid w:val="797A7C8F"/>
    <w:rsid w:val="79C21F52"/>
    <w:rsid w:val="7A3F6090"/>
    <w:rsid w:val="7A60258D"/>
    <w:rsid w:val="7A633442"/>
    <w:rsid w:val="7AAC6D0A"/>
    <w:rsid w:val="7AB421E4"/>
    <w:rsid w:val="7AC36B4A"/>
    <w:rsid w:val="7AD24297"/>
    <w:rsid w:val="7B0B46BA"/>
    <w:rsid w:val="7B28679C"/>
    <w:rsid w:val="7B31010B"/>
    <w:rsid w:val="7B681EA5"/>
    <w:rsid w:val="7C151F7B"/>
    <w:rsid w:val="7C7D69D8"/>
    <w:rsid w:val="7CE45D1E"/>
    <w:rsid w:val="7D126254"/>
    <w:rsid w:val="7D2047A9"/>
    <w:rsid w:val="7D672DB4"/>
    <w:rsid w:val="7DD56578"/>
    <w:rsid w:val="7DEB7B49"/>
    <w:rsid w:val="7E431733"/>
    <w:rsid w:val="7EA94543"/>
    <w:rsid w:val="7EE75955"/>
    <w:rsid w:val="7F2F76D0"/>
    <w:rsid w:val="7F860D35"/>
    <w:rsid w:val="7FA278D5"/>
    <w:rsid w:val="7FE84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qFormat="1"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4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8"/>
    <w:qFormat/>
    <w:uiPriority w:val="9"/>
    <w:pPr>
      <w:keepNext/>
      <w:keepLines/>
      <w:spacing w:before="260" w:after="260" w:line="416" w:lineRule="auto"/>
      <w:outlineLvl w:val="1"/>
    </w:pPr>
    <w:rPr>
      <w:rFonts w:ascii="Calibri Light" w:hAnsi="Calibri Light"/>
      <w:b/>
      <w:bCs/>
      <w:sz w:val="32"/>
      <w:szCs w:val="32"/>
    </w:rPr>
  </w:style>
  <w:style w:type="paragraph" w:styleId="5">
    <w:name w:val="heading 4"/>
    <w:basedOn w:val="1"/>
    <w:next w:val="1"/>
    <w:link w:val="49"/>
    <w:qFormat/>
    <w:uiPriority w:val="0"/>
    <w:pPr>
      <w:keepNext/>
      <w:keepLines/>
      <w:spacing w:before="280" w:after="290" w:line="376" w:lineRule="auto"/>
      <w:outlineLvl w:val="3"/>
    </w:pPr>
    <w:rPr>
      <w:rFonts w:ascii="Cambria" w:hAnsi="Cambria"/>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6"/>
    <w:unhideWhenUsed/>
    <w:qFormat/>
    <w:uiPriority w:val="99"/>
    <w:pPr>
      <w:jc w:val="left"/>
    </w:pPr>
    <w:rPr>
      <w:bCs/>
      <w:sz w:val="18"/>
      <w:szCs w:val="24"/>
    </w:rPr>
  </w:style>
  <w:style w:type="paragraph" w:styleId="6">
    <w:name w:val="toc 7"/>
    <w:basedOn w:val="1"/>
    <w:next w:val="1"/>
    <w:unhideWhenUsed/>
    <w:qFormat/>
    <w:uiPriority w:val="39"/>
    <w:pPr>
      <w:ind w:left="1260"/>
      <w:jc w:val="left"/>
    </w:pPr>
    <w:rPr>
      <w:sz w:val="18"/>
      <w:szCs w:val="18"/>
    </w:rPr>
  </w:style>
  <w:style w:type="paragraph" w:styleId="7">
    <w:name w:val="Normal Indent"/>
    <w:basedOn w:val="1"/>
    <w:qFormat/>
    <w:uiPriority w:val="0"/>
    <w:pPr>
      <w:ind w:firstLine="200" w:firstLineChars="200"/>
    </w:pPr>
    <w:rPr>
      <w:szCs w:val="24"/>
    </w:rPr>
  </w:style>
  <w:style w:type="paragraph" w:styleId="8">
    <w:name w:val="index 5"/>
    <w:basedOn w:val="1"/>
    <w:next w:val="1"/>
    <w:unhideWhenUsed/>
    <w:qFormat/>
    <w:uiPriority w:val="0"/>
    <w:pPr>
      <w:ind w:left="800" w:leftChars="800"/>
    </w:pPr>
    <w:rPr>
      <w:rFonts w:ascii="Calibri" w:hAnsi="Calibri"/>
      <w:szCs w:val="24"/>
    </w:rPr>
  </w:style>
  <w:style w:type="paragraph" w:styleId="9">
    <w:name w:val="annotation text"/>
    <w:basedOn w:val="1"/>
    <w:semiHidden/>
    <w:unhideWhenUsed/>
    <w:qFormat/>
    <w:uiPriority w:val="99"/>
    <w:pPr>
      <w:jc w:val="left"/>
    </w:pPr>
  </w:style>
  <w:style w:type="paragraph" w:styleId="10">
    <w:name w:val="Body Text Indent"/>
    <w:basedOn w:val="1"/>
    <w:next w:val="11"/>
    <w:unhideWhenUsed/>
    <w:qFormat/>
    <w:uiPriority w:val="99"/>
    <w:pPr>
      <w:spacing w:after="120"/>
      <w:ind w:left="420" w:leftChars="200"/>
    </w:pPr>
  </w:style>
  <w:style w:type="paragraph" w:styleId="11">
    <w:name w:val="footer"/>
    <w:basedOn w:val="1"/>
    <w:link w:val="46"/>
    <w:unhideWhenUsed/>
    <w:qFormat/>
    <w:uiPriority w:val="0"/>
    <w:pPr>
      <w:tabs>
        <w:tab w:val="center" w:pos="4153"/>
        <w:tab w:val="right" w:pos="8306"/>
      </w:tabs>
      <w:snapToGrid w:val="0"/>
      <w:jc w:val="left"/>
    </w:pPr>
    <w:rPr>
      <w:sz w:val="18"/>
      <w:szCs w:val="18"/>
    </w:rPr>
  </w:style>
  <w:style w:type="paragraph" w:styleId="12">
    <w:name w:val="toc 5"/>
    <w:basedOn w:val="1"/>
    <w:next w:val="1"/>
    <w:unhideWhenUsed/>
    <w:qFormat/>
    <w:uiPriority w:val="39"/>
    <w:pPr>
      <w:ind w:left="840"/>
      <w:jc w:val="left"/>
    </w:pPr>
    <w:rPr>
      <w:sz w:val="18"/>
      <w:szCs w:val="18"/>
    </w:rPr>
  </w:style>
  <w:style w:type="paragraph" w:styleId="13">
    <w:name w:val="toc 3"/>
    <w:basedOn w:val="1"/>
    <w:next w:val="1"/>
    <w:unhideWhenUsed/>
    <w:qFormat/>
    <w:uiPriority w:val="39"/>
    <w:pPr>
      <w:ind w:left="420"/>
      <w:jc w:val="left"/>
    </w:pPr>
    <w:rPr>
      <w:i/>
      <w:iCs/>
      <w:sz w:val="20"/>
      <w:szCs w:val="20"/>
    </w:rPr>
  </w:style>
  <w:style w:type="paragraph" w:styleId="14">
    <w:name w:val="Plain Text"/>
    <w:basedOn w:val="1"/>
    <w:qFormat/>
    <w:uiPriority w:val="0"/>
    <w:rPr>
      <w:rFonts w:ascii="宋体" w:hAnsi="Courier New"/>
      <w:szCs w:val="20"/>
    </w:rPr>
  </w:style>
  <w:style w:type="paragraph" w:styleId="15">
    <w:name w:val="toc 8"/>
    <w:basedOn w:val="1"/>
    <w:next w:val="1"/>
    <w:unhideWhenUsed/>
    <w:qFormat/>
    <w:uiPriority w:val="39"/>
    <w:pPr>
      <w:ind w:left="1470"/>
      <w:jc w:val="left"/>
    </w:pPr>
    <w:rPr>
      <w:sz w:val="18"/>
      <w:szCs w:val="18"/>
    </w:rPr>
  </w:style>
  <w:style w:type="paragraph" w:styleId="16">
    <w:name w:val="Date"/>
    <w:basedOn w:val="1"/>
    <w:next w:val="1"/>
    <w:link w:val="52"/>
    <w:unhideWhenUsed/>
    <w:qFormat/>
    <w:uiPriority w:val="99"/>
    <w:pPr>
      <w:ind w:left="100" w:leftChars="2500"/>
    </w:pPr>
    <w:rPr>
      <w:rFonts w:asciiTheme="minorHAnsi" w:hAnsiTheme="minorHAnsi" w:eastAsiaTheme="minorEastAsia" w:cstheme="minorBidi"/>
    </w:rPr>
  </w:style>
  <w:style w:type="paragraph" w:styleId="17">
    <w:name w:val="Balloon Text"/>
    <w:basedOn w:val="1"/>
    <w:link w:val="50"/>
    <w:unhideWhenUsed/>
    <w:qFormat/>
    <w:uiPriority w:val="99"/>
    <w:rPr>
      <w:rFonts w:asciiTheme="minorHAnsi" w:hAnsiTheme="minorHAnsi" w:eastAsiaTheme="minorEastAsia" w:cstheme="minorBidi"/>
      <w:sz w:val="18"/>
      <w:szCs w:val="18"/>
    </w:rPr>
  </w:style>
  <w:style w:type="paragraph" w:styleId="18">
    <w:name w:val="header"/>
    <w:basedOn w:val="1"/>
    <w:link w:val="45"/>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spacing w:before="120" w:after="120"/>
      <w:jc w:val="left"/>
    </w:pPr>
    <w:rPr>
      <w:b/>
      <w:bCs/>
      <w:caps/>
      <w:sz w:val="20"/>
      <w:szCs w:val="20"/>
    </w:rPr>
  </w:style>
  <w:style w:type="paragraph" w:styleId="20">
    <w:name w:val="toc 4"/>
    <w:basedOn w:val="1"/>
    <w:next w:val="1"/>
    <w:unhideWhenUsed/>
    <w:qFormat/>
    <w:uiPriority w:val="39"/>
    <w:pPr>
      <w:ind w:left="630"/>
      <w:jc w:val="left"/>
    </w:pPr>
    <w:rPr>
      <w:sz w:val="18"/>
      <w:szCs w:val="18"/>
    </w:rPr>
  </w:style>
  <w:style w:type="paragraph" w:styleId="21">
    <w:name w:val="Subtitle"/>
    <w:basedOn w:val="1"/>
    <w:next w:val="1"/>
    <w:link w:val="63"/>
    <w:qFormat/>
    <w:uiPriority w:val="11"/>
    <w:pPr>
      <w:spacing w:before="240" w:after="60" w:line="312" w:lineRule="auto"/>
      <w:jc w:val="center"/>
      <w:outlineLvl w:val="1"/>
    </w:pPr>
    <w:rPr>
      <w:rFonts w:ascii="Calibri Light" w:hAnsi="Calibri Light"/>
      <w:b/>
      <w:bCs/>
      <w:kern w:val="28"/>
      <w:sz w:val="32"/>
      <w:szCs w:val="32"/>
    </w:rPr>
  </w:style>
  <w:style w:type="paragraph" w:styleId="22">
    <w:name w:val="toc 6"/>
    <w:basedOn w:val="1"/>
    <w:next w:val="1"/>
    <w:unhideWhenUsed/>
    <w:qFormat/>
    <w:uiPriority w:val="39"/>
    <w:pPr>
      <w:ind w:left="1050"/>
      <w:jc w:val="left"/>
    </w:pPr>
    <w:rPr>
      <w:sz w:val="18"/>
      <w:szCs w:val="18"/>
    </w:rPr>
  </w:style>
  <w:style w:type="paragraph" w:styleId="23">
    <w:name w:val="table of figures"/>
    <w:basedOn w:val="1"/>
    <w:next w:val="1"/>
    <w:semiHidden/>
    <w:unhideWhenUsed/>
    <w:qFormat/>
    <w:uiPriority w:val="99"/>
    <w:pPr>
      <w:ind w:leftChars="200" w:hanging="200" w:hangingChars="200"/>
    </w:pPr>
  </w:style>
  <w:style w:type="paragraph" w:styleId="24">
    <w:name w:val="toc 2"/>
    <w:basedOn w:val="1"/>
    <w:next w:val="1"/>
    <w:unhideWhenUsed/>
    <w:qFormat/>
    <w:uiPriority w:val="39"/>
    <w:pPr>
      <w:ind w:left="210"/>
      <w:jc w:val="left"/>
    </w:pPr>
    <w:rPr>
      <w:smallCaps/>
      <w:sz w:val="20"/>
      <w:szCs w:val="20"/>
    </w:rPr>
  </w:style>
  <w:style w:type="paragraph" w:styleId="25">
    <w:name w:val="toc 9"/>
    <w:basedOn w:val="1"/>
    <w:next w:val="1"/>
    <w:unhideWhenUsed/>
    <w:qFormat/>
    <w:uiPriority w:val="39"/>
    <w:pPr>
      <w:ind w:left="1680"/>
      <w:jc w:val="left"/>
    </w:pPr>
    <w:rPr>
      <w:sz w:val="18"/>
      <w:szCs w:val="18"/>
    </w:rPr>
  </w:style>
  <w:style w:type="paragraph" w:styleId="26">
    <w:name w:val="Body Text First Indent"/>
    <w:basedOn w:val="2"/>
    <w:next w:val="27"/>
    <w:unhideWhenUsed/>
    <w:qFormat/>
    <w:uiPriority w:val="99"/>
    <w:pPr>
      <w:ind w:firstLine="420" w:firstLineChars="100"/>
    </w:pPr>
    <w:rPr>
      <w:rFonts w:ascii="Times New Roman"/>
      <w:sz w:val="24"/>
    </w:rPr>
  </w:style>
  <w:style w:type="paragraph" w:customStyle="1" w:styleId="27">
    <w:name w:val="段落正文"/>
    <w:basedOn w:val="1"/>
    <w:qFormat/>
    <w:uiPriority w:val="99"/>
    <w:pPr>
      <w:spacing w:beforeLines="50" w:line="360" w:lineRule="auto"/>
      <w:ind w:firstLine="200" w:firstLineChars="200"/>
    </w:pPr>
    <w:rPr>
      <w:spacing w:val="2"/>
      <w:sz w:val="24"/>
      <w:szCs w:val="20"/>
    </w:rPr>
  </w:style>
  <w:style w:type="paragraph" w:styleId="28">
    <w:name w:val="Body Text First Indent 2"/>
    <w:basedOn w:val="10"/>
    <w:next w:val="8"/>
    <w:qFormat/>
    <w:uiPriority w:val="0"/>
    <w:pPr>
      <w:ind w:firstLine="420" w:firstLineChars="200"/>
    </w:pPr>
    <w:rPr>
      <w:rFonts w:ascii="Calibri" w:hAnsi="Calibri" w:eastAsia="宋体" w:cs="Times New Roman"/>
      <w:szCs w:val="24"/>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99"/>
    <w:rPr>
      <w:b/>
      <w:bCs/>
    </w:rPr>
  </w:style>
  <w:style w:type="character" w:styleId="33">
    <w:name w:val="FollowedHyperlink"/>
    <w:basedOn w:val="31"/>
    <w:semiHidden/>
    <w:unhideWhenUsed/>
    <w:qFormat/>
    <w:uiPriority w:val="99"/>
    <w:rPr>
      <w:color w:val="954F72" w:themeColor="followedHyperlink"/>
      <w:u w:val="single"/>
      <w14:textFill>
        <w14:solidFill>
          <w14:schemeClr w14:val="folHlink"/>
        </w14:solidFill>
      </w14:textFill>
    </w:rPr>
  </w:style>
  <w:style w:type="character" w:styleId="34">
    <w:name w:val="Emphasis"/>
    <w:basedOn w:val="31"/>
    <w:qFormat/>
    <w:uiPriority w:val="20"/>
    <w:rPr>
      <w:b/>
      <w:bCs/>
    </w:rPr>
  </w:style>
  <w:style w:type="character" w:styleId="35">
    <w:name w:val="HTML Definition"/>
    <w:basedOn w:val="31"/>
    <w:semiHidden/>
    <w:unhideWhenUsed/>
    <w:qFormat/>
    <w:uiPriority w:val="99"/>
  </w:style>
  <w:style w:type="character" w:styleId="36">
    <w:name w:val="HTML Typewriter"/>
    <w:basedOn w:val="31"/>
    <w:semiHidden/>
    <w:unhideWhenUsed/>
    <w:qFormat/>
    <w:uiPriority w:val="99"/>
    <w:rPr>
      <w:rFonts w:hint="default" w:ascii="monospace" w:hAnsi="monospace" w:eastAsia="monospace" w:cs="monospace"/>
      <w:sz w:val="20"/>
    </w:rPr>
  </w:style>
  <w:style w:type="character" w:styleId="37">
    <w:name w:val="HTML Acronym"/>
    <w:basedOn w:val="31"/>
    <w:semiHidden/>
    <w:unhideWhenUsed/>
    <w:qFormat/>
    <w:uiPriority w:val="99"/>
  </w:style>
  <w:style w:type="character" w:styleId="38">
    <w:name w:val="HTML Variable"/>
    <w:basedOn w:val="31"/>
    <w:semiHidden/>
    <w:unhideWhenUsed/>
    <w:qFormat/>
    <w:uiPriority w:val="99"/>
  </w:style>
  <w:style w:type="character" w:styleId="39">
    <w:name w:val="Hyperlink"/>
    <w:unhideWhenUsed/>
    <w:qFormat/>
    <w:uiPriority w:val="99"/>
    <w:rPr>
      <w:color w:val="0563C1"/>
      <w:u w:val="single"/>
    </w:rPr>
  </w:style>
  <w:style w:type="character" w:styleId="40">
    <w:name w:val="HTML Code"/>
    <w:basedOn w:val="31"/>
    <w:semiHidden/>
    <w:unhideWhenUsed/>
    <w:qFormat/>
    <w:uiPriority w:val="99"/>
    <w:rPr>
      <w:rFonts w:hint="default" w:ascii="monospace" w:hAnsi="monospace" w:eastAsia="monospace" w:cs="monospace"/>
      <w:sz w:val="20"/>
    </w:rPr>
  </w:style>
  <w:style w:type="character" w:styleId="41">
    <w:name w:val="HTML Cite"/>
    <w:basedOn w:val="31"/>
    <w:semiHidden/>
    <w:unhideWhenUsed/>
    <w:qFormat/>
    <w:uiPriority w:val="99"/>
  </w:style>
  <w:style w:type="character" w:styleId="42">
    <w:name w:val="HTML Keyboard"/>
    <w:basedOn w:val="31"/>
    <w:semiHidden/>
    <w:unhideWhenUsed/>
    <w:qFormat/>
    <w:uiPriority w:val="99"/>
    <w:rPr>
      <w:rFonts w:hint="default" w:ascii="monospace" w:hAnsi="monospace" w:eastAsia="monospace" w:cs="monospace"/>
      <w:sz w:val="20"/>
    </w:rPr>
  </w:style>
  <w:style w:type="character" w:styleId="43">
    <w:name w:val="HTML Sample"/>
    <w:basedOn w:val="31"/>
    <w:semiHidden/>
    <w:unhideWhenUsed/>
    <w:qFormat/>
    <w:uiPriority w:val="99"/>
    <w:rPr>
      <w:rFonts w:ascii="monospace" w:hAnsi="monospace" w:eastAsia="monospace" w:cs="monospace"/>
    </w:rPr>
  </w:style>
  <w:style w:type="paragraph" w:customStyle="1" w:styleId="44">
    <w:name w:val="文档正文"/>
    <w:basedOn w:val="1"/>
    <w:qFormat/>
    <w:uiPriority w:val="99"/>
    <w:pPr>
      <w:adjustRightInd w:val="0"/>
      <w:spacing w:line="480" w:lineRule="atLeast"/>
      <w:ind w:firstLine="567" w:firstLineChars="200"/>
      <w:textAlignment w:val="baseline"/>
    </w:pPr>
    <w:rPr>
      <w:rFonts w:ascii="长城仿宋"/>
      <w:kern w:val="0"/>
    </w:rPr>
  </w:style>
  <w:style w:type="character" w:customStyle="1" w:styleId="45">
    <w:name w:val="页眉 Char"/>
    <w:basedOn w:val="31"/>
    <w:link w:val="18"/>
    <w:qFormat/>
    <w:uiPriority w:val="99"/>
    <w:rPr>
      <w:sz w:val="18"/>
      <w:szCs w:val="18"/>
    </w:rPr>
  </w:style>
  <w:style w:type="character" w:customStyle="1" w:styleId="46">
    <w:name w:val="页脚 Char"/>
    <w:basedOn w:val="31"/>
    <w:link w:val="11"/>
    <w:qFormat/>
    <w:uiPriority w:val="99"/>
    <w:rPr>
      <w:sz w:val="18"/>
      <w:szCs w:val="18"/>
    </w:rPr>
  </w:style>
  <w:style w:type="character" w:customStyle="1" w:styleId="47">
    <w:name w:val="标题 1 Char"/>
    <w:basedOn w:val="31"/>
    <w:link w:val="3"/>
    <w:qFormat/>
    <w:uiPriority w:val="9"/>
    <w:rPr>
      <w:rFonts w:ascii="Calibri" w:hAnsi="Calibri" w:eastAsia="宋体" w:cs="Times New Roman"/>
      <w:b/>
      <w:bCs/>
      <w:kern w:val="44"/>
      <w:sz w:val="44"/>
      <w:szCs w:val="44"/>
    </w:rPr>
  </w:style>
  <w:style w:type="character" w:customStyle="1" w:styleId="48">
    <w:name w:val="标题 2 Char"/>
    <w:basedOn w:val="31"/>
    <w:link w:val="4"/>
    <w:qFormat/>
    <w:uiPriority w:val="9"/>
    <w:rPr>
      <w:rFonts w:ascii="Calibri Light" w:hAnsi="Calibri Light" w:eastAsia="宋体" w:cs="Times New Roman"/>
      <w:b/>
      <w:bCs/>
      <w:sz w:val="32"/>
      <w:szCs w:val="32"/>
    </w:rPr>
  </w:style>
  <w:style w:type="character" w:customStyle="1" w:styleId="49">
    <w:name w:val="标题 4 Char"/>
    <w:basedOn w:val="31"/>
    <w:link w:val="5"/>
    <w:qFormat/>
    <w:uiPriority w:val="0"/>
    <w:rPr>
      <w:rFonts w:ascii="Cambria" w:hAnsi="Cambria" w:eastAsia="宋体" w:cs="Times New Roman"/>
      <w:b/>
      <w:bCs/>
      <w:sz w:val="28"/>
      <w:szCs w:val="28"/>
    </w:rPr>
  </w:style>
  <w:style w:type="character" w:customStyle="1" w:styleId="50">
    <w:name w:val="批注框文本 Char"/>
    <w:link w:val="17"/>
    <w:qFormat/>
    <w:uiPriority w:val="99"/>
    <w:rPr>
      <w:sz w:val="18"/>
      <w:szCs w:val="18"/>
    </w:rPr>
  </w:style>
  <w:style w:type="character" w:customStyle="1" w:styleId="51">
    <w:name w:val="font31"/>
    <w:qFormat/>
    <w:uiPriority w:val="99"/>
    <w:rPr>
      <w:rFonts w:ascii="宋体" w:hAnsi="宋体" w:eastAsia="宋体"/>
      <w:color w:val="000000"/>
      <w:sz w:val="21"/>
      <w:u w:val="none"/>
    </w:rPr>
  </w:style>
  <w:style w:type="character" w:customStyle="1" w:styleId="52">
    <w:name w:val="日期 Char"/>
    <w:basedOn w:val="31"/>
    <w:link w:val="16"/>
    <w:qFormat/>
    <w:uiPriority w:val="99"/>
  </w:style>
  <w:style w:type="character" w:customStyle="1" w:styleId="53">
    <w:name w:val="列出段落 Char"/>
    <w:link w:val="54"/>
    <w:qFormat/>
    <w:uiPriority w:val="34"/>
  </w:style>
  <w:style w:type="paragraph" w:styleId="54">
    <w:name w:val="List Paragraph"/>
    <w:basedOn w:val="1"/>
    <w:link w:val="53"/>
    <w:qFormat/>
    <w:uiPriority w:val="34"/>
    <w:pPr>
      <w:ind w:firstLine="420" w:firstLineChars="200"/>
    </w:pPr>
    <w:rPr>
      <w:rFonts w:asciiTheme="minorHAnsi" w:hAnsiTheme="minorHAnsi" w:eastAsiaTheme="minorEastAsia" w:cstheme="minorBidi"/>
    </w:rPr>
  </w:style>
  <w:style w:type="character" w:customStyle="1" w:styleId="55">
    <w:name w:val="日期 Char1"/>
    <w:basedOn w:val="31"/>
    <w:semiHidden/>
    <w:qFormat/>
    <w:uiPriority w:val="99"/>
    <w:rPr>
      <w:rFonts w:ascii="Calibri" w:hAnsi="Calibri" w:eastAsia="宋体" w:cs="Times New Roman"/>
    </w:rPr>
  </w:style>
  <w:style w:type="paragraph" w:customStyle="1" w:styleId="56">
    <w:name w:val="_正文段落"/>
    <w:basedOn w:val="1"/>
    <w:qFormat/>
    <w:uiPriority w:val="0"/>
    <w:pPr>
      <w:spacing w:beforeLines="15" w:afterLines="15" w:line="360" w:lineRule="auto"/>
      <w:ind w:firstLine="200" w:firstLineChars="200"/>
    </w:pPr>
    <w:rPr>
      <w:rFonts w:ascii="宋体" w:hAnsi="Times New Roman" w:eastAsia="仿宋_GB2312"/>
      <w:kern w:val="0"/>
      <w:sz w:val="28"/>
      <w:szCs w:val="24"/>
    </w:rPr>
  </w:style>
  <w:style w:type="paragraph" w:customStyle="1" w:styleId="57">
    <w:name w:val="List Paragraph1"/>
    <w:basedOn w:val="1"/>
    <w:qFormat/>
    <w:uiPriority w:val="99"/>
    <w:pPr>
      <w:ind w:firstLine="420" w:firstLineChars="200"/>
    </w:pPr>
    <w:rPr>
      <w:szCs w:val="21"/>
    </w:rPr>
  </w:style>
  <w:style w:type="paragraph" w:customStyle="1" w:styleId="58">
    <w:name w:val="列出段落3"/>
    <w:basedOn w:val="1"/>
    <w:qFormat/>
    <w:uiPriority w:val="99"/>
    <w:pPr>
      <w:ind w:firstLine="420" w:firstLineChars="200"/>
    </w:pPr>
    <w:rPr>
      <w:szCs w:val="21"/>
    </w:rPr>
  </w:style>
  <w:style w:type="character" w:customStyle="1" w:styleId="59">
    <w:name w:val="批注框文本 Char1"/>
    <w:basedOn w:val="31"/>
    <w:semiHidden/>
    <w:qFormat/>
    <w:uiPriority w:val="99"/>
    <w:rPr>
      <w:rFonts w:ascii="Calibri" w:hAnsi="Calibri" w:eastAsia="宋体" w:cs="Times New Roman"/>
      <w:sz w:val="18"/>
      <w:szCs w:val="18"/>
    </w:rPr>
  </w:style>
  <w:style w:type="paragraph" w:customStyle="1" w:styleId="60">
    <w:name w:val="列出段落2"/>
    <w:basedOn w:val="1"/>
    <w:qFormat/>
    <w:uiPriority w:val="99"/>
    <w:pPr>
      <w:ind w:firstLine="420" w:firstLineChars="200"/>
    </w:pPr>
    <w:rPr>
      <w:szCs w:val="21"/>
    </w:rPr>
  </w:style>
  <w:style w:type="paragraph" w:customStyle="1" w:styleId="61">
    <w:name w:val="列出段落1"/>
    <w:basedOn w:val="1"/>
    <w:qFormat/>
    <w:uiPriority w:val="0"/>
    <w:pPr>
      <w:ind w:firstLine="420" w:firstLineChars="200"/>
    </w:pPr>
  </w:style>
  <w:style w:type="paragraph" w:customStyle="1" w:styleId="62">
    <w:name w:val="TOC 标题1"/>
    <w:basedOn w:val="3"/>
    <w:next w:val="1"/>
    <w:unhideWhenUsed/>
    <w:qFormat/>
    <w:uiPriority w:val="39"/>
    <w:pPr>
      <w:widowControl/>
      <w:spacing w:before="240" w:after="0" w:line="259" w:lineRule="auto"/>
      <w:jc w:val="left"/>
      <w:outlineLvl w:val="9"/>
    </w:pPr>
    <w:rPr>
      <w:rFonts w:ascii="Calibri Light" w:hAnsi="Calibri Light"/>
      <w:b w:val="0"/>
      <w:bCs w:val="0"/>
      <w:color w:val="2E75B5"/>
      <w:kern w:val="0"/>
      <w:sz w:val="32"/>
      <w:szCs w:val="32"/>
    </w:rPr>
  </w:style>
  <w:style w:type="character" w:customStyle="1" w:styleId="63">
    <w:name w:val="副标题 Char"/>
    <w:basedOn w:val="31"/>
    <w:link w:val="21"/>
    <w:qFormat/>
    <w:uiPriority w:val="11"/>
    <w:rPr>
      <w:rFonts w:ascii="Calibri Light" w:hAnsi="Calibri Light" w:eastAsia="宋体" w:cs="Times New Roman"/>
      <w:b/>
      <w:bCs/>
      <w:kern w:val="28"/>
      <w:sz w:val="32"/>
      <w:szCs w:val="32"/>
    </w:rPr>
  </w:style>
  <w:style w:type="paragraph" w:customStyle="1" w:styleId="64">
    <w:name w:val="TOC 标题11"/>
    <w:basedOn w:val="3"/>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65">
    <w:name w:val="列出段落4"/>
    <w:basedOn w:val="1"/>
    <w:qFormat/>
    <w:uiPriority w:val="0"/>
    <w:pPr>
      <w:ind w:firstLine="420" w:firstLineChars="200"/>
    </w:pPr>
    <w:rPr>
      <w:szCs w:val="21"/>
    </w:rPr>
  </w:style>
  <w:style w:type="character" w:customStyle="1" w:styleId="66">
    <w:name w:val="正文文本 Char"/>
    <w:basedOn w:val="31"/>
    <w:link w:val="2"/>
    <w:qFormat/>
    <w:uiPriority w:val="99"/>
    <w:rPr>
      <w:bCs/>
      <w:kern w:val="2"/>
      <w:sz w:val="18"/>
      <w:szCs w:val="24"/>
    </w:rPr>
  </w:style>
  <w:style w:type="character" w:customStyle="1" w:styleId="67">
    <w:name w:val="divider6"/>
    <w:basedOn w:val="31"/>
    <w:qFormat/>
    <w:uiPriority w:val="0"/>
    <w:rPr>
      <w:vanish/>
    </w:rPr>
  </w:style>
  <w:style w:type="character" w:customStyle="1" w:styleId="68">
    <w:name w:val="divider7"/>
    <w:basedOn w:val="31"/>
    <w:qFormat/>
    <w:uiPriority w:val="0"/>
    <w:rPr>
      <w:b/>
      <w:bCs/>
      <w:color w:val="999999"/>
    </w:rPr>
  </w:style>
  <w:style w:type="character" w:customStyle="1" w:styleId="69">
    <w:name w:val="diff-html-removed"/>
    <w:basedOn w:val="31"/>
    <w:qFormat/>
    <w:uiPriority w:val="0"/>
    <w:rPr>
      <w:strike/>
      <w:sz w:val="21"/>
      <w:szCs w:val="21"/>
      <w:shd w:val="clear" w:fill="FDC6C6"/>
    </w:rPr>
  </w:style>
  <w:style w:type="character" w:customStyle="1" w:styleId="70">
    <w:name w:val="diff-html-added"/>
    <w:basedOn w:val="31"/>
    <w:qFormat/>
    <w:uiPriority w:val="0"/>
    <w:rPr>
      <w:sz w:val="21"/>
      <w:szCs w:val="21"/>
      <w:shd w:val="clear" w:fill="CCFFCC"/>
    </w:rPr>
  </w:style>
  <w:style w:type="character" w:customStyle="1" w:styleId="71">
    <w:name w:val="diff-html-changed"/>
    <w:basedOn w:val="31"/>
    <w:qFormat/>
    <w:uiPriority w:val="0"/>
  </w:style>
  <w:style w:type="character" w:customStyle="1" w:styleId="72">
    <w:name w:val="nav-item-label4"/>
    <w:basedOn w:val="31"/>
    <w:qFormat/>
    <w:uiPriority w:val="0"/>
  </w:style>
  <w:style w:type="character" w:customStyle="1" w:styleId="73">
    <w:name w:val="fontstyle01"/>
    <w:basedOn w:val="31"/>
    <w:qFormat/>
    <w:uiPriority w:val="0"/>
    <w:rPr>
      <w:rFonts w:hint="default" w:ascii="MicrosoftYaHei" w:hAnsi="MicrosoftYaHei"/>
      <w:color w:val="000000"/>
      <w:sz w:val="22"/>
      <w:szCs w:val="22"/>
    </w:rPr>
  </w:style>
  <w:style w:type="character" w:customStyle="1" w:styleId="74">
    <w:name w:val="mini-outputtext1"/>
    <w:basedOn w:val="31"/>
    <w:qFormat/>
    <w:uiPriority w:val="0"/>
  </w:style>
  <w:style w:type="paragraph" w:customStyle="1" w:styleId="7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76">
    <w:name w:val="图表目录1"/>
    <w:basedOn w:val="77"/>
    <w:next w:val="1"/>
    <w:unhideWhenUsed/>
    <w:qFormat/>
    <w:uiPriority w:val="99"/>
    <w:pPr>
      <w:ind w:left="200" w:leftChars="200" w:hanging="200" w:hangingChars="200"/>
    </w:pPr>
  </w:style>
  <w:style w:type="paragraph" w:customStyle="1" w:styleId="77">
    <w:name w:val="Normal New"/>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78">
    <w:name w:val="p1"/>
    <w:basedOn w:val="1"/>
    <w:qFormat/>
    <w:uiPriority w:val="0"/>
    <w:pPr>
      <w:spacing w:before="0" w:beforeAutospacing="0" w:after="0" w:afterAutospacing="0" w:line="380" w:lineRule="atLeast"/>
      <w:ind w:left="0" w:right="0"/>
      <w:jc w:val="left"/>
    </w:pPr>
    <w:rPr>
      <w:rFonts w:ascii="Helvetica Neue" w:hAnsi="Helvetica Neue" w:eastAsia="Helvetica Neue" w:cs="Helvetica Neue"/>
      <w:color w:val="000000"/>
      <w:kern w:val="0"/>
      <w:sz w:val="26"/>
      <w:szCs w:val="26"/>
      <w:lang w:val="en-US" w:eastAsia="zh-CN" w:bidi="ar"/>
    </w:rPr>
  </w:style>
  <w:style w:type="paragraph" w:customStyle="1" w:styleId="79">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3779BC-ECEF-41B5-BF53-391EB672273A}">
  <ds:schemaRefs/>
</ds:datastoreItem>
</file>

<file path=docProps/app.xml><?xml version="1.0" encoding="utf-8"?>
<Properties xmlns="http://schemas.openxmlformats.org/officeDocument/2006/extended-properties" xmlns:vt="http://schemas.openxmlformats.org/officeDocument/2006/docPropsVTypes">
  <Template>Normal</Template>
  <Pages>42</Pages>
  <Words>4249</Words>
  <Characters>4538</Characters>
  <Lines>31</Lines>
  <Paragraphs>70</Paragraphs>
  <TotalTime>39</TotalTime>
  <ScaleCrop>false</ScaleCrop>
  <LinksUpToDate>false</LinksUpToDate>
  <CharactersWithSpaces>4626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2021-06-09T05:49:00Z</dcterms:created>
  <dc:creator>LB</dc:creator>
  <cp:lastModifiedBy>羋</cp:lastModifiedBy>
  <cp:lastPrinted>2024-04-19T02:47:00Z</cp:lastPrinted>
  <dcterms:modified xsi:type="dcterms:W3CDTF">2025-07-11T09:10:43Z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9BF092BD035B46979E9C4EC097A55BF7</vt:lpwstr>
  </property>
  <property fmtid="{D5CDD505-2E9C-101B-9397-08002B2CF9AE}" pid="4" name="KSOTemplateDocerSaveRecord">
    <vt:lpwstr>eyJoZGlkIjoiODE4ZDkzYjk1OTdjNWJmMDM4OGM0MTc5YjRlNTc4YjgiLCJ1c2VySWQiOiI1MTIzMTI4NDcifQ==</vt:lpwstr>
  </property>
</Properties>
</file>