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14330">
      <w:pPr>
        <w:pStyle w:val="4"/>
        <w:ind w:right="-92" w:rightChars="-44" w:firstLine="482" w:firstLineChars="200"/>
        <w:outlineLvl w:val="1"/>
        <w:rPr>
          <w:rFonts w:hint="eastAsia" w:ascii="宋体" w:hAnsi="宋体" w:cs="宋体"/>
          <w:b/>
          <w:bCs/>
          <w:color w:val="auto"/>
          <w:sz w:val="24"/>
        </w:rPr>
      </w:pPr>
      <w:bookmarkStart w:id="0" w:name="_Toc217446094"/>
      <w:r>
        <w:rPr>
          <w:rFonts w:hint="eastAsia" w:ascii="宋体" w:hAnsi="宋体" w:cs="宋体"/>
          <w:b/>
          <w:bCs/>
          <w:color w:val="auto"/>
          <w:sz w:val="24"/>
        </w:rPr>
        <w:t>一、项目概述</w:t>
      </w:r>
      <w:bookmarkEnd w:id="0"/>
    </w:p>
    <w:p w14:paraId="798BC722">
      <w:pPr>
        <w:pStyle w:val="5"/>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jc w:val="left"/>
        <w:textAlignment w:val="auto"/>
        <w:rPr>
          <w:rFonts w:hint="eastAsia" w:ascii="宋体" w:hAnsi="宋体" w:eastAsia="宋体" w:cs="宋体"/>
          <w:color w:val="auto"/>
          <w:sz w:val="24"/>
        </w:rPr>
      </w:pPr>
      <w:bookmarkStart w:id="1" w:name="_Toc217446095"/>
      <w:r>
        <w:rPr>
          <w:rFonts w:hint="eastAsia" w:ascii="宋体" w:hAnsi="宋体" w:eastAsia="宋体" w:cs="宋体"/>
          <w:color w:val="auto"/>
          <w:sz w:val="24"/>
        </w:rPr>
        <w:t>为实现学校《国际经济法》课程的人工智能服务场景运用、满足学生学习行为和学习需求，通过打造AI课程、建设专属课程知识库、利用多样性和丰富的数据进行分析，将人工智能应用到教学各环节中，实现个性化教学和精确把控学生个体学习数据。拟采购AI课程建设与开发服务一项。</w:t>
      </w:r>
    </w:p>
    <w:p w14:paraId="225E5929">
      <w:pPr>
        <w:pStyle w:val="4"/>
        <w:ind w:right="-92" w:rightChars="-44" w:firstLine="482" w:firstLineChars="200"/>
        <w:outlineLvl w:val="1"/>
        <w:rPr>
          <w:rFonts w:hint="eastAsia" w:ascii="宋体" w:hAnsi="宋体" w:cs="宋体"/>
          <w:color w:val="auto"/>
          <w:sz w:val="24"/>
        </w:rPr>
      </w:pPr>
      <w:r>
        <w:rPr>
          <w:rFonts w:hint="eastAsia" w:ascii="宋体" w:hAnsi="宋体" w:cs="宋体"/>
          <w:b/>
          <w:bCs/>
          <w:color w:val="auto"/>
          <w:sz w:val="24"/>
        </w:rPr>
        <w:t>二、</w:t>
      </w:r>
      <w:r>
        <w:rPr>
          <w:rFonts w:hint="eastAsia" w:ascii="宋体" w:hAnsi="宋体" w:cs="宋体"/>
          <w:b/>
          <w:bCs/>
          <w:color w:val="auto"/>
          <w:sz w:val="24"/>
          <w:lang w:eastAsia="zh-CN"/>
        </w:rPr>
        <w:t>采购标的</w:t>
      </w:r>
      <w:r>
        <w:rPr>
          <w:rFonts w:hint="eastAsia" w:ascii="宋体" w:hAnsi="宋体" w:cs="宋体"/>
          <w:b/>
          <w:bCs/>
          <w:color w:val="auto"/>
          <w:sz w:val="24"/>
        </w:rPr>
        <w:t>清单</w:t>
      </w:r>
      <w:r>
        <w:rPr>
          <w:rFonts w:hint="eastAsia" w:ascii="宋体" w:hAnsi="宋体" w:cs="宋体"/>
          <w:b/>
          <w:bCs/>
          <w:color w:val="auto"/>
          <w:sz w:val="24"/>
          <w:lang w:eastAsia="zh-CN"/>
        </w:rPr>
        <w:t>（</w:t>
      </w:r>
      <w:r>
        <w:rPr>
          <w:rFonts w:hint="eastAsia" w:ascii="宋体" w:hAnsi="宋体" w:cs="宋体"/>
          <w:b/>
          <w:bCs/>
          <w:color w:val="auto"/>
          <w:sz w:val="28"/>
          <w:szCs w:val="28"/>
        </w:rPr>
        <w:t>★</w:t>
      </w:r>
      <w:r>
        <w:rPr>
          <w:rFonts w:hint="eastAsia" w:ascii="宋体" w:hAnsi="宋体" w:cs="宋体"/>
          <w:b/>
          <w:bCs/>
          <w:color w:val="auto"/>
          <w:sz w:val="24"/>
          <w:lang w:val="en-US" w:eastAsia="zh-CN"/>
        </w:rPr>
        <w:t>实质性要求</w:t>
      </w:r>
      <w:r>
        <w:rPr>
          <w:rFonts w:hint="eastAsia" w:ascii="宋体" w:hAnsi="宋体" w:cs="宋体"/>
          <w:b/>
          <w:bCs/>
          <w:color w:val="auto"/>
          <w:sz w:val="24"/>
          <w:lang w:eastAsia="zh-CN"/>
        </w:rPr>
        <w:t>）</w:t>
      </w:r>
    </w:p>
    <w:tbl>
      <w:tblPr>
        <w:tblStyle w:val="8"/>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50"/>
        <w:gridCol w:w="1231"/>
        <w:gridCol w:w="761"/>
        <w:gridCol w:w="1757"/>
        <w:gridCol w:w="2642"/>
      </w:tblGrid>
      <w:tr w14:paraId="3650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33" w:type="dxa"/>
            <w:noWrap w:val="0"/>
            <w:vAlign w:val="center"/>
          </w:tcPr>
          <w:p w14:paraId="7E07B3C6">
            <w:pPr>
              <w:spacing w:line="400" w:lineRule="exact"/>
              <w:jc w:val="center"/>
              <w:textAlignment w:val="center"/>
              <w:rPr>
                <w:rFonts w:ascii="宋体" w:hAnsi="宋体" w:eastAsia="宋体" w:cs="宋体"/>
                <w:b/>
                <w:bCs/>
                <w:color w:val="auto"/>
                <w:sz w:val="24"/>
              </w:rPr>
            </w:pPr>
            <w:r>
              <w:rPr>
                <w:rFonts w:hint="eastAsia" w:ascii="宋体" w:hAnsi="宋体" w:eastAsia="宋体" w:cs="宋体"/>
                <w:b/>
                <w:bCs/>
                <w:color w:val="auto"/>
                <w:sz w:val="24"/>
              </w:rPr>
              <w:t>序号</w:t>
            </w:r>
          </w:p>
        </w:tc>
        <w:tc>
          <w:tcPr>
            <w:tcW w:w="2350" w:type="dxa"/>
            <w:noWrap w:val="0"/>
            <w:vAlign w:val="center"/>
          </w:tcPr>
          <w:p w14:paraId="7010ACFE">
            <w:pPr>
              <w:spacing w:line="400" w:lineRule="exact"/>
              <w:jc w:val="center"/>
              <w:textAlignment w:val="center"/>
              <w:rPr>
                <w:rFonts w:ascii="宋体" w:hAnsi="宋体" w:eastAsia="宋体" w:cs="宋体"/>
                <w:b/>
                <w:bCs/>
                <w:color w:val="auto"/>
                <w:sz w:val="24"/>
              </w:rPr>
            </w:pPr>
            <w:r>
              <w:rPr>
                <w:rFonts w:hint="eastAsia" w:ascii="宋体" w:hAnsi="宋体" w:eastAsia="宋体" w:cs="宋体"/>
                <w:b/>
                <w:bCs/>
                <w:color w:val="auto"/>
                <w:sz w:val="24"/>
              </w:rPr>
              <w:t>标的名称</w:t>
            </w:r>
          </w:p>
        </w:tc>
        <w:tc>
          <w:tcPr>
            <w:tcW w:w="1231" w:type="dxa"/>
            <w:noWrap w:val="0"/>
            <w:vAlign w:val="center"/>
          </w:tcPr>
          <w:p w14:paraId="70D0EF1B">
            <w:pPr>
              <w:spacing w:line="400" w:lineRule="exact"/>
              <w:jc w:val="center"/>
              <w:textAlignment w:val="center"/>
              <w:rPr>
                <w:rFonts w:ascii="宋体" w:hAnsi="宋体" w:eastAsia="宋体" w:cs="宋体"/>
                <w:b/>
                <w:bCs/>
                <w:color w:val="auto"/>
                <w:sz w:val="24"/>
              </w:rPr>
            </w:pPr>
            <w:r>
              <w:rPr>
                <w:rFonts w:hint="eastAsia" w:ascii="宋体" w:hAnsi="宋体" w:eastAsia="宋体" w:cs="宋体"/>
                <w:b/>
                <w:bCs/>
                <w:color w:val="auto"/>
                <w:sz w:val="24"/>
              </w:rPr>
              <w:t>计量单位</w:t>
            </w:r>
          </w:p>
        </w:tc>
        <w:tc>
          <w:tcPr>
            <w:tcW w:w="761" w:type="dxa"/>
            <w:noWrap w:val="0"/>
            <w:vAlign w:val="center"/>
          </w:tcPr>
          <w:p w14:paraId="1B2E1EF2">
            <w:pPr>
              <w:spacing w:line="400" w:lineRule="exact"/>
              <w:jc w:val="center"/>
              <w:textAlignment w:val="center"/>
              <w:rPr>
                <w:rFonts w:ascii="宋体" w:hAnsi="宋体" w:eastAsia="宋体" w:cs="宋体"/>
                <w:b/>
                <w:bCs/>
                <w:color w:val="auto"/>
                <w:sz w:val="24"/>
              </w:rPr>
            </w:pPr>
            <w:r>
              <w:rPr>
                <w:rFonts w:hint="eastAsia" w:ascii="宋体" w:hAnsi="宋体" w:eastAsia="宋体" w:cs="宋体"/>
                <w:b/>
                <w:bCs/>
                <w:color w:val="auto"/>
                <w:sz w:val="24"/>
              </w:rPr>
              <w:t>数量</w:t>
            </w:r>
          </w:p>
        </w:tc>
        <w:tc>
          <w:tcPr>
            <w:tcW w:w="1757" w:type="dxa"/>
            <w:noWrap w:val="0"/>
            <w:vAlign w:val="center"/>
          </w:tcPr>
          <w:p w14:paraId="2EA0CE58">
            <w:pPr>
              <w:spacing w:line="400" w:lineRule="exact"/>
              <w:jc w:val="center"/>
              <w:textAlignment w:val="center"/>
              <w:rPr>
                <w:rFonts w:ascii="宋体" w:hAnsi="宋体" w:eastAsia="宋体" w:cs="宋体"/>
                <w:b/>
                <w:bCs/>
                <w:color w:val="auto"/>
                <w:sz w:val="24"/>
              </w:rPr>
            </w:pPr>
            <w:r>
              <w:rPr>
                <w:rFonts w:hint="eastAsia" w:ascii="宋体" w:hAnsi="宋体" w:eastAsia="宋体" w:cs="宋体"/>
                <w:b/>
                <w:bCs/>
                <w:color w:val="auto"/>
                <w:sz w:val="24"/>
              </w:rPr>
              <w:t>单项限价（元）</w:t>
            </w:r>
          </w:p>
        </w:tc>
        <w:tc>
          <w:tcPr>
            <w:tcW w:w="2642" w:type="dxa"/>
            <w:noWrap w:val="0"/>
            <w:vAlign w:val="center"/>
          </w:tcPr>
          <w:p w14:paraId="1ECCD846">
            <w:pPr>
              <w:spacing w:line="400" w:lineRule="exact"/>
              <w:jc w:val="center"/>
              <w:textAlignment w:val="center"/>
              <w:rPr>
                <w:rFonts w:ascii="宋体" w:hAnsi="宋体" w:eastAsia="宋体" w:cs="宋体"/>
                <w:b/>
                <w:bCs/>
                <w:color w:val="auto"/>
                <w:sz w:val="24"/>
              </w:rPr>
            </w:pPr>
            <w:r>
              <w:rPr>
                <w:rFonts w:hint="eastAsia" w:ascii="宋体" w:hAnsi="宋体" w:eastAsia="宋体" w:cs="宋体"/>
                <w:b/>
                <w:bCs/>
                <w:color w:val="auto"/>
                <w:sz w:val="24"/>
              </w:rPr>
              <w:t>所属行业</w:t>
            </w:r>
          </w:p>
        </w:tc>
      </w:tr>
      <w:tr w14:paraId="3926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35F43EC9">
            <w:pPr>
              <w:spacing w:line="800" w:lineRule="exact"/>
              <w:jc w:val="center"/>
              <w:textAlignment w:val="center"/>
              <w:rPr>
                <w:rFonts w:ascii="宋体" w:hAnsi="宋体" w:eastAsia="宋体" w:cs="宋体"/>
                <w:b/>
                <w:bCs/>
                <w:color w:val="auto"/>
                <w:szCs w:val="21"/>
              </w:rPr>
            </w:pPr>
            <w:r>
              <w:rPr>
                <w:rFonts w:hint="eastAsia" w:ascii="宋体" w:hAnsi="宋体" w:eastAsia="宋体" w:cs="宋体"/>
                <w:b/>
                <w:bCs/>
                <w:color w:val="auto"/>
                <w:szCs w:val="21"/>
              </w:rPr>
              <w:t>1</w:t>
            </w:r>
          </w:p>
        </w:tc>
        <w:tc>
          <w:tcPr>
            <w:tcW w:w="2350" w:type="dxa"/>
            <w:noWrap w:val="0"/>
            <w:vAlign w:val="center"/>
          </w:tcPr>
          <w:p w14:paraId="0A288EF5">
            <w:pPr>
              <w:spacing w:line="360" w:lineRule="exact"/>
              <w:jc w:val="center"/>
              <w:textAlignment w:val="center"/>
              <w:rPr>
                <w:rFonts w:ascii="宋体" w:hAnsi="宋体" w:eastAsia="宋体" w:cs="宋体"/>
                <w:color w:val="auto"/>
                <w:szCs w:val="21"/>
              </w:rPr>
            </w:pPr>
            <w:r>
              <w:rPr>
                <w:rFonts w:hint="eastAsia" w:ascii="宋体" w:hAnsi="宋体" w:eastAsia="宋体" w:cs="宋体"/>
                <w:color w:val="auto"/>
                <w:sz w:val="21"/>
                <w:szCs w:val="21"/>
              </w:rPr>
              <w:t>AI课程建设与开发服务</w:t>
            </w:r>
          </w:p>
        </w:tc>
        <w:tc>
          <w:tcPr>
            <w:tcW w:w="1231" w:type="dxa"/>
            <w:noWrap w:val="0"/>
            <w:vAlign w:val="center"/>
          </w:tcPr>
          <w:p w14:paraId="40CF6E76">
            <w:pPr>
              <w:spacing w:line="360" w:lineRule="exact"/>
              <w:jc w:val="center"/>
              <w:textAlignment w:val="center"/>
              <w:rPr>
                <w:rFonts w:ascii="宋体" w:hAnsi="宋体" w:eastAsia="宋体" w:cs="宋体"/>
                <w:color w:val="auto"/>
                <w:szCs w:val="21"/>
              </w:rPr>
            </w:pPr>
            <w:r>
              <w:rPr>
                <w:rFonts w:hint="eastAsia" w:ascii="宋体" w:hAnsi="宋体" w:eastAsia="宋体" w:cs="宋体"/>
                <w:color w:val="auto"/>
                <w:sz w:val="21"/>
                <w:szCs w:val="21"/>
              </w:rPr>
              <w:t>项</w:t>
            </w:r>
          </w:p>
        </w:tc>
        <w:tc>
          <w:tcPr>
            <w:tcW w:w="761" w:type="dxa"/>
            <w:noWrap w:val="0"/>
            <w:vAlign w:val="center"/>
          </w:tcPr>
          <w:p w14:paraId="243FC780">
            <w:pPr>
              <w:spacing w:line="800" w:lineRule="exact"/>
              <w:jc w:val="center"/>
              <w:textAlignment w:val="center"/>
              <w:rPr>
                <w:rFonts w:ascii="宋体" w:hAnsi="宋体" w:eastAsia="宋体" w:cs="宋体"/>
                <w:color w:val="auto"/>
                <w:szCs w:val="21"/>
              </w:rPr>
            </w:pPr>
            <w:r>
              <w:rPr>
                <w:rFonts w:hint="eastAsia" w:ascii="宋体" w:hAnsi="宋体" w:eastAsia="宋体" w:cs="宋体"/>
                <w:color w:val="auto"/>
                <w:sz w:val="24"/>
              </w:rPr>
              <w:t>1</w:t>
            </w:r>
          </w:p>
        </w:tc>
        <w:tc>
          <w:tcPr>
            <w:tcW w:w="1757" w:type="dxa"/>
            <w:noWrap w:val="0"/>
            <w:vAlign w:val="center"/>
          </w:tcPr>
          <w:p w14:paraId="01B29A28">
            <w:pPr>
              <w:spacing w:line="800" w:lineRule="exact"/>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 w:val="24"/>
              </w:rPr>
              <w:t>100000</w:t>
            </w:r>
            <w:r>
              <w:rPr>
                <w:rFonts w:hint="eastAsia" w:ascii="宋体" w:hAnsi="宋体" w:eastAsia="宋体" w:cs="宋体"/>
                <w:color w:val="auto"/>
                <w:sz w:val="24"/>
                <w:lang w:val="en-US" w:eastAsia="zh-CN"/>
              </w:rPr>
              <w:t>.00</w:t>
            </w:r>
          </w:p>
        </w:tc>
        <w:tc>
          <w:tcPr>
            <w:tcW w:w="2642" w:type="dxa"/>
            <w:noWrap w:val="0"/>
            <w:vAlign w:val="center"/>
          </w:tcPr>
          <w:p w14:paraId="237B0629">
            <w:pPr>
              <w:spacing w:line="360" w:lineRule="exact"/>
              <w:jc w:val="center"/>
              <w:textAlignment w:val="center"/>
              <w:rPr>
                <w:rFonts w:ascii="宋体" w:hAnsi="宋体" w:eastAsia="宋体" w:cs="宋体"/>
                <w:color w:val="auto"/>
                <w:szCs w:val="21"/>
              </w:rPr>
            </w:pPr>
            <w:r>
              <w:rPr>
                <w:rFonts w:hint="eastAsia" w:ascii="宋体" w:hAnsi="宋体" w:eastAsia="宋体" w:cs="宋体"/>
                <w:color w:val="auto"/>
                <w:sz w:val="21"/>
                <w:szCs w:val="21"/>
              </w:rPr>
              <w:t>软件和信息技术服务业</w:t>
            </w:r>
          </w:p>
        </w:tc>
      </w:tr>
    </w:tbl>
    <w:p w14:paraId="0B1DB27F">
      <w:pPr>
        <w:widowControl/>
        <w:spacing w:line="360" w:lineRule="atLeast"/>
        <w:ind w:right="-92" w:rightChars="-44" w:firstLine="470" w:firstLineChars="196"/>
        <w:jc w:val="left"/>
        <w:rPr>
          <w:rFonts w:hint="eastAsia" w:ascii="宋体" w:hAnsi="宋体" w:cs="宋体"/>
          <w:color w:val="auto"/>
        </w:rPr>
      </w:pPr>
      <w:r>
        <w:rPr>
          <w:rFonts w:hint="eastAsia" w:ascii="宋体" w:hAnsi="宋体" w:cs="宋体"/>
          <w:color w:val="auto"/>
          <w:sz w:val="24"/>
        </w:rPr>
        <w:t xml:space="preserve">                             </w:t>
      </w:r>
    </w:p>
    <w:bookmarkEnd w:id="1"/>
    <w:p w14:paraId="55118836">
      <w:pPr>
        <w:pStyle w:val="4"/>
        <w:numPr>
          <w:ilvl w:val="0"/>
          <w:numId w:val="1"/>
        </w:numPr>
        <w:ind w:right="-92" w:rightChars="-44" w:firstLine="482" w:firstLineChars="200"/>
        <w:outlineLvl w:val="1"/>
        <w:rPr>
          <w:rFonts w:hint="eastAsia" w:ascii="宋体" w:hAnsi="宋体" w:cs="宋体"/>
          <w:b/>
          <w:bCs/>
          <w:color w:val="auto"/>
          <w:sz w:val="24"/>
          <w:highlight w:val="none"/>
        </w:rPr>
      </w:pPr>
      <w:r>
        <w:rPr>
          <w:rFonts w:hint="eastAsia" w:ascii="宋体" w:hAnsi="宋体" w:cs="宋体"/>
          <w:b/>
          <w:bCs/>
          <w:color w:val="auto"/>
          <w:sz w:val="24"/>
          <w:highlight w:val="none"/>
        </w:rPr>
        <w:t>技术</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服务</w:t>
      </w:r>
      <w:r>
        <w:rPr>
          <w:rFonts w:hint="eastAsia" w:ascii="宋体" w:hAnsi="宋体" w:cs="宋体"/>
          <w:b/>
          <w:bCs/>
          <w:color w:val="auto"/>
          <w:sz w:val="24"/>
          <w:highlight w:val="none"/>
          <w:lang w:eastAsia="zh-CN"/>
        </w:rPr>
        <w:t>要</w:t>
      </w:r>
      <w:r>
        <w:rPr>
          <w:rFonts w:hint="eastAsia" w:ascii="宋体" w:hAnsi="宋体" w:cs="宋体"/>
          <w:b/>
          <w:bCs/>
          <w:color w:val="auto"/>
          <w:sz w:val="24"/>
          <w:highlight w:val="none"/>
        </w:rPr>
        <w:t>求</w:t>
      </w:r>
    </w:p>
    <w:p w14:paraId="74424520">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color w:val="auto"/>
        </w:rPr>
      </w:pPr>
      <w:r>
        <w:rPr>
          <w:rFonts w:hint="eastAsia" w:ascii="宋体" w:hAnsi="宋体" w:cs="宋体"/>
          <w:b/>
          <w:bCs/>
          <w:color w:val="auto"/>
          <w:sz w:val="24"/>
        </w:rPr>
        <w:t>共</w:t>
      </w:r>
      <w:r>
        <w:rPr>
          <w:rFonts w:hint="eastAsia" w:ascii="宋体" w:hAnsi="宋体" w:cs="宋体"/>
          <w:b/>
          <w:bCs/>
          <w:color w:val="auto"/>
          <w:sz w:val="24"/>
          <w:lang w:val="en-US" w:eastAsia="zh-CN"/>
        </w:rPr>
        <w:t>138</w:t>
      </w:r>
      <w:r>
        <w:rPr>
          <w:rFonts w:hint="eastAsia" w:ascii="宋体" w:hAnsi="宋体" w:cs="宋体"/>
          <w:b/>
          <w:bCs/>
          <w:color w:val="auto"/>
          <w:sz w:val="24"/>
        </w:rPr>
        <w:t>条技术参数与性能指标，其中，“★”为实质性参数（共</w:t>
      </w:r>
      <w:r>
        <w:rPr>
          <w:rFonts w:hint="eastAsia" w:ascii="宋体" w:hAnsi="宋体" w:cs="宋体"/>
          <w:b/>
          <w:bCs/>
          <w:color w:val="auto"/>
          <w:sz w:val="24"/>
          <w:lang w:val="en-US" w:eastAsia="zh-CN"/>
        </w:rPr>
        <w:t>3</w:t>
      </w:r>
      <w:r>
        <w:rPr>
          <w:rFonts w:hint="eastAsia" w:ascii="宋体" w:hAnsi="宋体" w:cs="宋体"/>
          <w:b/>
          <w:bCs/>
          <w:color w:val="auto"/>
          <w:sz w:val="24"/>
        </w:rPr>
        <w:t>项），不满足则为无效</w:t>
      </w:r>
      <w:r>
        <w:rPr>
          <w:rFonts w:hint="eastAsia" w:ascii="宋体" w:hAnsi="宋体" w:cs="宋体"/>
          <w:b/>
          <w:bCs/>
          <w:color w:val="auto"/>
          <w:sz w:val="24"/>
          <w:lang w:val="en-US" w:eastAsia="zh-CN"/>
        </w:rPr>
        <w:t>响应</w:t>
      </w:r>
      <w:r>
        <w:rPr>
          <w:rFonts w:hint="eastAsia" w:ascii="宋体" w:hAnsi="宋体" w:cs="宋体"/>
          <w:b/>
          <w:bCs/>
          <w:color w:val="auto"/>
          <w:sz w:val="24"/>
        </w:rPr>
        <w:t>；带“▲”条款为重要参数（共</w:t>
      </w:r>
      <w:r>
        <w:rPr>
          <w:rFonts w:hint="eastAsia" w:ascii="宋体" w:hAnsi="宋体" w:cs="宋体"/>
          <w:b/>
          <w:bCs/>
          <w:color w:val="auto"/>
          <w:sz w:val="24"/>
          <w:lang w:val="en-US" w:eastAsia="zh-CN"/>
        </w:rPr>
        <w:t>10</w:t>
      </w:r>
      <w:r>
        <w:rPr>
          <w:rFonts w:hint="eastAsia" w:ascii="宋体" w:hAnsi="宋体" w:cs="宋体"/>
          <w:b/>
          <w:bCs/>
          <w:color w:val="auto"/>
          <w:sz w:val="24"/>
        </w:rPr>
        <w:t>项）；未标识符号的参数为一般参数（共</w:t>
      </w:r>
      <w:r>
        <w:rPr>
          <w:rFonts w:hint="eastAsia" w:ascii="宋体" w:hAnsi="宋体" w:cs="宋体"/>
          <w:b/>
          <w:bCs/>
          <w:color w:val="auto"/>
          <w:sz w:val="24"/>
          <w:lang w:val="en-US" w:eastAsia="zh-CN"/>
        </w:rPr>
        <w:t>125</w:t>
      </w:r>
      <w:r>
        <w:rPr>
          <w:rFonts w:hint="eastAsia" w:ascii="宋体" w:hAnsi="宋体" w:cs="宋体"/>
          <w:b/>
          <w:bCs/>
          <w:color w:val="auto"/>
          <w:sz w:val="24"/>
        </w:rPr>
        <w:t>项）。</w:t>
      </w:r>
    </w:p>
    <w:p w14:paraId="7BF5F968">
      <w:pPr>
        <w:pStyle w:val="2"/>
        <w:keepNext w:val="0"/>
        <w:keepLines w:val="0"/>
        <w:pageBreakBefore w:val="0"/>
        <w:widowControl w:val="0"/>
        <w:kinsoku/>
        <w:wordWrap/>
        <w:overflowPunct/>
        <w:topLinePunct w:val="0"/>
        <w:autoSpaceDE/>
        <w:autoSpaceDN/>
        <w:bidi w:val="0"/>
        <w:adjustRightInd/>
        <w:snapToGrid/>
        <w:spacing w:line="360" w:lineRule="auto"/>
        <w:ind w:right="-92" w:rightChars="-44"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AI课程知识库建设服务</w:t>
      </w:r>
    </w:p>
    <w:p w14:paraId="2FFA5782">
      <w:pPr>
        <w:pStyle w:val="5"/>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highlight w:val="none"/>
        </w:rPr>
        <w:t>（1）</w:t>
      </w:r>
      <w:r>
        <w:rPr>
          <w:rFonts w:hint="eastAsia" w:ascii="宋体" w:hAnsi="宋体" w:eastAsia="宋体" w:cs="宋体"/>
          <w:color w:val="auto"/>
          <w:sz w:val="24"/>
        </w:rPr>
        <w:t>需支持知识库管理功能，支持上传pdf格式的教学资源，上传的资源可选择是否进行切片处理</w:t>
      </w:r>
      <w:r>
        <w:rPr>
          <w:rFonts w:hint="eastAsia" w:ascii="宋体" w:hAnsi="宋体" w:eastAsia="宋体" w:cs="宋体"/>
          <w:color w:val="auto"/>
          <w:sz w:val="24"/>
          <w:lang w:eastAsia="zh-CN"/>
        </w:rPr>
        <w:t>；</w:t>
      </w:r>
      <w:r>
        <w:rPr>
          <w:rFonts w:hint="eastAsia" w:ascii="宋体" w:hAnsi="宋体" w:eastAsia="宋体" w:cs="宋体"/>
          <w:color w:val="auto"/>
          <w:sz w:val="24"/>
        </w:rPr>
        <w:t>支持分类上传资源；</w:t>
      </w:r>
    </w:p>
    <w:p w14:paraId="29534010">
      <w:pPr>
        <w:pStyle w:val="5"/>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highlight w:val="none"/>
        </w:rPr>
        <w:t>（2）</w:t>
      </w:r>
      <w:r>
        <w:rPr>
          <w:rFonts w:hint="eastAsia" w:ascii="宋体" w:hAnsi="宋体" w:eastAsia="宋体" w:cs="宋体"/>
          <w:color w:val="auto"/>
          <w:sz w:val="24"/>
        </w:rPr>
        <w:t>支持上传视频、音频、文档（包括PPT、PDF、DOC、TXT、PNG等）等教学资源；视频支持上传MP4、MKV、MOV、AVI、WMV等通用格式视频，上传后自动转码，支持在线预览；</w:t>
      </w:r>
    </w:p>
    <w:p w14:paraId="35F498BC">
      <w:pPr>
        <w:pStyle w:val="2"/>
        <w:keepNext w:val="0"/>
        <w:keepLines w:val="0"/>
        <w:pageBreakBefore w:val="0"/>
        <w:widowControl w:val="0"/>
        <w:kinsoku/>
        <w:wordWrap/>
        <w:overflowPunct/>
        <w:topLinePunct w:val="0"/>
        <w:autoSpaceDE/>
        <w:autoSpaceDN/>
        <w:bidi w:val="0"/>
        <w:adjustRightInd/>
        <w:snapToGrid/>
        <w:spacing w:line="360" w:lineRule="auto"/>
        <w:ind w:right="-92" w:rightChars="-44"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highlight w:val="none"/>
        </w:rPr>
        <w:t>（3）</w:t>
      </w:r>
      <w:r>
        <w:rPr>
          <w:rFonts w:hint="eastAsia" w:ascii="宋体" w:hAnsi="宋体" w:eastAsia="宋体" w:cs="宋体"/>
          <w:color w:val="auto"/>
          <w:sz w:val="24"/>
        </w:rPr>
        <w:t>支持自定义二级文件分类及分类管理，可查看分类下资源处理情况与更新时间；支持统计知识库文件、图片、音视频等基础数据及知识切片、公式等内容数据；上传资源可查看详情，并支持启用/禁用、移动分类或删除操作</w:t>
      </w:r>
      <w:r>
        <w:rPr>
          <w:rFonts w:hint="eastAsia" w:ascii="宋体" w:hAnsi="宋体" w:eastAsia="宋体" w:cs="宋体"/>
          <w:color w:val="auto"/>
          <w:sz w:val="24"/>
          <w:lang w:eastAsia="zh-CN"/>
        </w:rPr>
        <w:t>；</w:t>
      </w:r>
      <w:r>
        <w:rPr>
          <w:rFonts w:hint="eastAsia" w:ascii="宋体" w:hAnsi="宋体" w:eastAsia="宋体" w:cs="宋体"/>
          <w:color w:val="auto"/>
          <w:sz w:val="24"/>
        </w:rPr>
        <w:t>支持关联教师已有的课程资源，包括已建设的课程资源和教学班发布的教学内容；</w:t>
      </w:r>
    </w:p>
    <w:p w14:paraId="4D634CEA">
      <w:pPr>
        <w:pStyle w:val="2"/>
        <w:keepNext w:val="0"/>
        <w:keepLines w:val="0"/>
        <w:pageBreakBefore w:val="0"/>
        <w:widowControl w:val="0"/>
        <w:kinsoku/>
        <w:wordWrap/>
        <w:overflowPunct/>
        <w:topLinePunct w:val="0"/>
        <w:autoSpaceDE/>
        <w:autoSpaceDN/>
        <w:bidi w:val="0"/>
        <w:adjustRightInd/>
        <w:snapToGrid/>
        <w:spacing w:line="360" w:lineRule="auto"/>
        <w:ind w:right="-92" w:rightChars="-44"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（二）AI课程模型建设服务</w:t>
      </w:r>
    </w:p>
    <w:p w14:paraId="7D98B53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2.1 知识模型建设服务</w:t>
      </w:r>
    </w:p>
    <w:p w14:paraId="0610DA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w:t>
      </w:r>
      <w:r>
        <w:rPr>
          <w:rFonts w:hint="eastAsia" w:ascii="宋体" w:hAnsi="宋体" w:eastAsia="宋体" w:cs="宋体"/>
          <w:color w:val="auto"/>
          <w:kern w:val="2"/>
          <w:sz w:val="24"/>
          <w:szCs w:val="24"/>
          <w:lang w:val="en-US" w:eastAsia="zh-CN" w:bidi="ar-SA"/>
        </w:rPr>
        <w:t>持人工智能生成课程知识图谱；支持通过表格方式进行知识点导入、关联其他已建设的课程知识图谱、或通过本地教材、知识库教材通过人工智能对教材进行碎片化处理及知识点归纳总结，直接生成可在线编辑的课程知识图谱，在线编辑用户固定为一人。</w:t>
      </w:r>
    </w:p>
    <w:p w14:paraId="581B43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w:t>
      </w:r>
      <w:r>
        <w:rPr>
          <w:rFonts w:hint="eastAsia" w:ascii="宋体" w:hAnsi="宋体" w:eastAsia="宋体" w:cs="宋体"/>
          <w:color w:val="auto"/>
          <w:kern w:val="2"/>
          <w:sz w:val="24"/>
          <w:szCs w:val="24"/>
          <w:lang w:val="en-US" w:eastAsia="zh-CN" w:bidi="ar-SA"/>
        </w:rPr>
        <w:t>2）支持知识图谱支持切换树状、网状等视图模式，同时支持自定义视图功能，教师可通过拖拽知识点生成个性化视图并保存，还能在自定义视图中替换背景、统一知识点大小及隐藏根节点。</w:t>
      </w:r>
    </w:p>
    <w:p w14:paraId="6F7B9F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（3）支持查看知识图谱的知识点总量、节点层级、节点关系等结构数据，以及关联课程资源数量、习题数量、思政点数量等关联内容数据。</w:t>
      </w:r>
    </w:p>
    <w:p w14:paraId="2E77FC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（4）支持选择某节点后，根据知识图谱中的知识点层级快捷设置展开或收起所有层级；</w:t>
      </w:r>
    </w:p>
    <w:p w14:paraId="177F10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（5）支持查看及编辑知识点详情，包括：节点名称、知识说明、知识分类、认知维度、难度系数、节点关系、思政设计等；</w:t>
      </w:r>
    </w:p>
    <w:p w14:paraId="165A1D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）支持知识点搜索，输入关键词，若搜索结果有多个时，突出显示定位检索匹配的所有节点；</w:t>
      </w:r>
    </w:p>
    <w:p w14:paraId="759F9F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）支持图谱下载，可按节点层级导出excel文件；</w:t>
      </w:r>
    </w:p>
    <w:p w14:paraId="01CC26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）支持自定义设置知识点属性：在知识图谱中，允许教师自定义设置知识点的难度系数、知识分类和认知维度等属性；</w:t>
      </w:r>
    </w:p>
    <w:p w14:paraId="7F79B6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）支持知识图谱树状结构、网状结构、自定义结构三种模式进行编辑；</w:t>
      </w:r>
    </w:p>
    <w:p w14:paraId="66E4E4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10</w:t>
      </w:r>
      <w:r>
        <w:rPr>
          <w:rFonts w:hint="eastAsia" w:ascii="宋体" w:hAnsi="宋体" w:eastAsia="宋体" w:cs="宋体"/>
          <w:color w:val="auto"/>
          <w:sz w:val="24"/>
        </w:rPr>
        <w:t>）支持查看知识图谱全景，可进行放大及缩小操作。</w:t>
      </w:r>
    </w:p>
    <w:p w14:paraId="235B1E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）支持添加或删除多个根节点支持知识节点跨课程关联；支持选择某节点后，添加子节点，最多添加到七级节点；</w:t>
      </w:r>
    </w:p>
    <w:p w14:paraId="1598DB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2</w:t>
      </w:r>
      <w:r>
        <w:rPr>
          <w:rFonts w:hint="eastAsia" w:ascii="宋体" w:hAnsi="宋体" w:eastAsia="宋体" w:cs="宋体"/>
          <w:color w:val="auto"/>
          <w:sz w:val="24"/>
        </w:rPr>
        <w:t>）导入模板至少包含：节点名称、知识说明、知识分类、认知维度、难度系数、节点关系；</w:t>
      </w:r>
    </w:p>
    <w:p w14:paraId="2E4E7BEB">
      <w:pPr>
        <w:pStyle w:val="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kern w:val="2"/>
          <w:sz w:val="24"/>
          <w:szCs w:val="24"/>
          <w:lang w:val="en-US" w:eastAsia="zh-CN" w:bidi="ar-SA"/>
        </w:rPr>
        <w:t>支持知识点与课程资源（含图文、视频、讨论等学习单元）及课程习题关联，可检索学习单元、查看关联资源及习题的详情与答案解析。</w:t>
      </w:r>
    </w:p>
    <w:p w14:paraId="5B2CA3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14</w:t>
      </w:r>
      <w:r>
        <w:rPr>
          <w:rFonts w:hint="eastAsia" w:ascii="宋体" w:hAnsi="宋体" w:eastAsia="宋体" w:cs="宋体"/>
          <w:color w:val="auto"/>
          <w:sz w:val="24"/>
        </w:rPr>
        <w:t>）支持根据节点关系生成知识点学习路径；支持已经建设的知识图谱发布到教学班中；</w:t>
      </w:r>
    </w:p>
    <w:p w14:paraId="7EF0FF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15</w:t>
      </w:r>
      <w:r>
        <w:rPr>
          <w:rFonts w:hint="eastAsia" w:ascii="宋体" w:hAnsi="宋体" w:eastAsia="宋体" w:cs="宋体"/>
          <w:color w:val="auto"/>
          <w:sz w:val="24"/>
        </w:rPr>
        <w:t>）支持教师可以选择是否开放给学生</w:t>
      </w:r>
      <w:r>
        <w:rPr>
          <w:rFonts w:hint="eastAsia" w:ascii="宋体" w:hAnsi="宋体" w:eastAsia="宋体" w:cs="宋体"/>
          <w:color w:val="auto"/>
          <w:sz w:val="24"/>
          <w:lang w:eastAsia="zh-CN"/>
        </w:rPr>
        <w:t>，</w:t>
      </w:r>
      <w:r>
        <w:rPr>
          <w:rFonts w:hint="eastAsia" w:ascii="宋体" w:hAnsi="宋体" w:eastAsia="宋体" w:cs="宋体"/>
          <w:color w:val="auto"/>
          <w:sz w:val="24"/>
        </w:rPr>
        <w:t>学生在自己的教学班中就可以查看到对应的知识图谱；</w:t>
      </w:r>
    </w:p>
    <w:p w14:paraId="0538EF0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16</w:t>
      </w:r>
      <w:r>
        <w:rPr>
          <w:rFonts w:hint="eastAsia" w:ascii="宋体" w:hAnsi="宋体" w:eastAsia="宋体" w:cs="宋体"/>
          <w:color w:val="auto"/>
          <w:sz w:val="24"/>
        </w:rPr>
        <w:t>）支持教师查看知识点的的学习情况，包括：该节点关联课程资源和习题的情况：总数和已发布数量；已完成、进行中、未完成的学生比例；</w:t>
      </w:r>
    </w:p>
    <w:p w14:paraId="545AD7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17</w:t>
      </w:r>
      <w:r>
        <w:rPr>
          <w:rFonts w:hint="eastAsia" w:ascii="宋体" w:hAnsi="宋体" w:eastAsia="宋体" w:cs="宋体"/>
          <w:color w:val="auto"/>
          <w:sz w:val="24"/>
        </w:rPr>
        <w:t>）支持教师查看和展示班级平均掌握度，跟进掌握情况给出建议关注知识点；</w:t>
      </w:r>
    </w:p>
    <w:p w14:paraId="0FE0141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2.2能力模型建设服务</w:t>
      </w:r>
    </w:p>
    <w:p w14:paraId="05319A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rPr>
        <w:t>支持建设能力模型，包括能力点名称、能力标签、能力描述、关联知识点、对应学习内容，能力标签支持自定义；</w:t>
      </w:r>
    </w:p>
    <w:p w14:paraId="1C2EB7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支持展示能力模型对应的能力点、知识点、学习内容数量；支持展示单个能力点的标签、能力描述、知识点助力、学习内容数量、知识点关联关系；</w:t>
      </w:r>
    </w:p>
    <w:p w14:paraId="7A6540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）支持通过模板导入能力模型，支持能力模型导出表格；</w:t>
      </w:r>
    </w:p>
    <w:p w14:paraId="261215C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2.3问答模型建设服务</w:t>
      </w:r>
    </w:p>
    <w:p w14:paraId="4893F3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）支持建设问题模型，包括问题类型、问题描述、答案描述、关联知识点、对应学习内容；</w:t>
      </w:r>
    </w:p>
    <w:p w14:paraId="256684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）支持教师将问答反馈意见纳入答案库，进行修改编辑；支持教师设置图文并匹配图片和文字，支持给学生答案推荐时包含图片；</w:t>
      </w:r>
    </w:p>
    <w:p w14:paraId="7637301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2.4增强模型建设服务</w:t>
      </w:r>
    </w:p>
    <w:p w14:paraId="7DD4AE6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2.4.1课程图片库建设服务</w:t>
      </w:r>
    </w:p>
    <w:p w14:paraId="41CBD4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）支持建设课程图片库，并支持对图片进行自定义分类；</w:t>
      </w:r>
    </w:p>
    <w:p w14:paraId="6C0898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）支持对图片进行知识点标记；支持对图片添加文字说明；支持标记图片来源；</w:t>
      </w:r>
    </w:p>
    <w:p w14:paraId="1C3608D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2.4.2课程公式库建设服务</w:t>
      </w:r>
    </w:p>
    <w:p w14:paraId="1A27432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）支持建设课程公式库，支持对公式类型进行分类管理，支持自定义分类，支持对公式进行知识点标记；</w:t>
      </w:r>
    </w:p>
    <w:p w14:paraId="70EE57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）支持对公式添加文字说明，支持添加公式块或行内公式；支持标记公式来源；</w:t>
      </w:r>
    </w:p>
    <w:p w14:paraId="245A18A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2.4.3课程表格库建设服务</w:t>
      </w:r>
    </w:p>
    <w:p w14:paraId="5AAD0D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）支持建设课程表格库，支持对表格进行标签分类，支持自定义分类；同时需对表格进行知识点标记；</w:t>
      </w:r>
    </w:p>
    <w:p w14:paraId="6C23420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）支持表格内上传图片或添加公式，支持对表格添加文字说明；支持标记表格来源；</w:t>
      </w:r>
    </w:p>
    <w:p w14:paraId="0BECD3C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2.4.4课程代码库建设服务</w:t>
      </w:r>
    </w:p>
    <w:p w14:paraId="4CC65A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）支持建设课程代码库，保留代码格式，支持对代码进行分类，同时需对代码进行知识点标记；</w:t>
      </w:r>
      <w:r>
        <w:rPr>
          <w:rFonts w:hint="eastAsia" w:ascii="宋体" w:hAnsi="宋体" w:eastAsia="宋体" w:cs="宋体"/>
          <w:b/>
          <w:bCs/>
          <w:color w:val="auto"/>
          <w:sz w:val="24"/>
        </w:rPr>
        <w:t>（供应商需提供</w:t>
      </w:r>
      <w:r>
        <w:rPr>
          <w:rFonts w:hint="eastAsia" w:ascii="宋体" w:hAnsi="宋体" w:eastAsia="宋体" w:cs="宋体"/>
          <w:b/>
          <w:bCs/>
          <w:color w:val="auto"/>
          <w:sz w:val="24"/>
          <w:lang w:val="en-US" w:eastAsia="zh-CN"/>
        </w:rPr>
        <w:t>此项功能说明或类似此项功能截图</w:t>
      </w:r>
      <w:r>
        <w:rPr>
          <w:rFonts w:hint="eastAsia" w:ascii="宋体" w:hAnsi="宋体" w:eastAsia="宋体" w:cs="宋体"/>
          <w:b/>
          <w:bCs/>
          <w:color w:val="auto"/>
          <w:sz w:val="24"/>
        </w:rPr>
        <w:t>以佐证并加盖供应商公章）</w:t>
      </w:r>
    </w:p>
    <w:p w14:paraId="5ACF4AF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）支持对代码添加代码注释，支持对代码添加流程图或实现效果图；支持标记代码来源；</w:t>
      </w:r>
    </w:p>
    <w:p w14:paraId="3536E7E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2.4.5课程视频库建设服务</w:t>
      </w:r>
    </w:p>
    <w:p w14:paraId="751936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）支持建设课程视频库，支持对视频进行分类管理，支持对整个视频进行知识点标记；</w:t>
      </w:r>
      <w:r>
        <w:rPr>
          <w:rFonts w:hint="eastAsia" w:ascii="宋体" w:hAnsi="宋体" w:eastAsia="宋体" w:cs="宋体"/>
          <w:b/>
          <w:bCs/>
          <w:color w:val="auto"/>
          <w:sz w:val="24"/>
        </w:rPr>
        <w:t>（供应商需提供</w:t>
      </w:r>
      <w:r>
        <w:rPr>
          <w:rFonts w:hint="eastAsia" w:ascii="宋体" w:hAnsi="宋体" w:eastAsia="宋体" w:cs="宋体"/>
          <w:b/>
          <w:bCs/>
          <w:color w:val="auto"/>
          <w:sz w:val="24"/>
          <w:lang w:val="en-US" w:eastAsia="zh-CN"/>
        </w:rPr>
        <w:t>此项功能说明或类似此项功能截图</w:t>
      </w:r>
      <w:r>
        <w:rPr>
          <w:rFonts w:hint="eastAsia" w:ascii="宋体" w:hAnsi="宋体" w:eastAsia="宋体" w:cs="宋体"/>
          <w:b/>
          <w:bCs/>
          <w:color w:val="auto"/>
          <w:sz w:val="24"/>
        </w:rPr>
        <w:t>以佐证并加盖供应商公章）</w:t>
      </w:r>
    </w:p>
    <w:p w14:paraId="2F3B44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）支持对课堂回放视频自动添加课堂回顾标签，支持自定义分类标签；</w:t>
      </w:r>
    </w:p>
    <w:p w14:paraId="2DD07E6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）通过人工智能，支持根据视频内容进行分段归纳总结，形成知识导引，同时文字与视频进度一一对应，点击可以进行快速定位</w:t>
      </w:r>
      <w:r>
        <w:rPr>
          <w:rFonts w:hint="eastAsia" w:ascii="宋体" w:hAnsi="宋体" w:eastAsia="宋体" w:cs="宋体"/>
          <w:color w:val="auto"/>
          <w:sz w:val="24"/>
          <w:lang w:eastAsia="zh-CN"/>
        </w:rPr>
        <w:t>；</w:t>
      </w:r>
    </w:p>
    <w:p w14:paraId="4EC634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）支持对形成的导引进行分类管理，支持对导引进行知识点标记；通过人工智能形成课程讲稿，按照时间轴排序，点击讲稿同时课对应跳转到视频指定位置；</w:t>
      </w:r>
    </w:p>
    <w:p w14:paraId="367A320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2.4.6课程习题库建设服务</w:t>
      </w:r>
    </w:p>
    <w:p w14:paraId="1ACBF5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支持建设课程习题库，支持对习题进行分类，支持自定义分类标签，同时需对习题进行知识点标记；</w:t>
      </w:r>
    </w:p>
    <w:p w14:paraId="79AD0D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）支持题型至少包括单选题、多选题、判断题、填空题、主观题等；支持添加答案解析；支持设置习题难度系数；支持编辑、移动、删除题库习题；</w:t>
      </w:r>
    </w:p>
    <w:p w14:paraId="4EE63A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）添加习题支持对题干及选项字体格式进行修改，支持多图上传，支持插入公式；支持编辑包括Python、Java、C++、Php、Vb、ActionScript3等的不少于20门常用代码语言，支持插入音频及附件文件；</w:t>
      </w:r>
    </w:p>
    <w:p w14:paraId="2085575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2.4.7课程专有名词库建设服务</w:t>
      </w:r>
    </w:p>
    <w:p w14:paraId="6056109D">
      <w:pPr>
        <w:pStyle w:val="2"/>
        <w:keepNext w:val="0"/>
        <w:keepLines w:val="0"/>
        <w:pageBreakBefore w:val="0"/>
        <w:widowControl w:val="0"/>
        <w:kinsoku/>
        <w:wordWrap/>
        <w:overflowPunct/>
        <w:topLinePunct w:val="0"/>
        <w:autoSpaceDE/>
        <w:autoSpaceDN/>
        <w:bidi w:val="0"/>
        <w:adjustRightInd/>
        <w:snapToGrid/>
        <w:spacing w:line="360" w:lineRule="auto"/>
        <w:ind w:right="-92" w:rightChars="-44"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）支持通过人工智能匹配课程专业或学科属性，自动生成专有名词库，支持对专有名词增加图片或文字解释说明；</w:t>
      </w:r>
    </w:p>
    <w:p w14:paraId="3BDB88A2">
      <w:pPr>
        <w:pStyle w:val="2"/>
        <w:keepNext w:val="0"/>
        <w:keepLines w:val="0"/>
        <w:pageBreakBefore w:val="0"/>
        <w:widowControl w:val="0"/>
        <w:kinsoku/>
        <w:wordWrap/>
        <w:overflowPunct/>
        <w:topLinePunct w:val="0"/>
        <w:autoSpaceDE/>
        <w:autoSpaceDN/>
        <w:bidi w:val="0"/>
        <w:adjustRightInd/>
        <w:snapToGrid/>
        <w:spacing w:line="360" w:lineRule="auto"/>
        <w:ind w:right="-92" w:rightChars="-44"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（三）AI个性化指令建设服务</w:t>
      </w:r>
    </w:p>
    <w:p w14:paraId="61AE4B36">
      <w:pPr>
        <w:pStyle w:val="5"/>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）支持根据《国际经济法》属性，建设课程个性化指令库以提示学生向智能学伴进行提问</w:t>
      </w:r>
      <w:r>
        <w:rPr>
          <w:rFonts w:hint="eastAsia" w:ascii="宋体" w:hAnsi="宋体" w:eastAsia="宋体" w:cs="宋体"/>
          <w:color w:val="auto"/>
          <w:sz w:val="24"/>
          <w:lang w:eastAsia="zh-CN"/>
        </w:rPr>
        <w:t>；</w:t>
      </w:r>
    </w:p>
    <w:p w14:paraId="1F4ACBB6">
      <w:pPr>
        <w:pStyle w:val="2"/>
        <w:keepNext w:val="0"/>
        <w:keepLines w:val="0"/>
        <w:pageBreakBefore w:val="0"/>
        <w:widowControl w:val="0"/>
        <w:kinsoku/>
        <w:wordWrap/>
        <w:overflowPunct/>
        <w:topLinePunct w:val="0"/>
        <w:autoSpaceDE/>
        <w:autoSpaceDN/>
        <w:bidi w:val="0"/>
        <w:adjustRightInd/>
        <w:snapToGrid/>
        <w:spacing w:line="360" w:lineRule="auto"/>
        <w:ind w:right="-92" w:rightChars="-44"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（四）智能体建设服务</w:t>
      </w:r>
    </w:p>
    <w:p w14:paraId="27EFDFA5">
      <w:pPr>
        <w:pStyle w:val="2"/>
        <w:keepNext w:val="0"/>
        <w:keepLines w:val="0"/>
        <w:pageBreakBefore w:val="0"/>
        <w:widowControl w:val="0"/>
        <w:kinsoku/>
        <w:wordWrap/>
        <w:overflowPunct/>
        <w:topLinePunct w:val="0"/>
        <w:autoSpaceDE/>
        <w:autoSpaceDN/>
        <w:bidi w:val="0"/>
        <w:adjustRightInd/>
        <w:snapToGrid/>
        <w:spacing w:line="360" w:lineRule="auto"/>
        <w:ind w:right="-92" w:rightChars="-44"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）根据课程专业或学科属性，建设课程个性化智能体，建设《国际经济法》课程智能体</w:t>
      </w:r>
      <w:r>
        <w:rPr>
          <w:rFonts w:hint="eastAsia" w:ascii="宋体" w:hAnsi="宋体" w:eastAsia="宋体" w:cs="宋体"/>
          <w:color w:val="auto"/>
          <w:sz w:val="24"/>
          <w:highlight w:val="none"/>
          <w:lang w:eastAsia="zh-CN"/>
        </w:rPr>
        <w:t>；</w:t>
      </w:r>
    </w:p>
    <w:p w14:paraId="62E2CE0D">
      <w:pPr>
        <w:pStyle w:val="2"/>
        <w:keepNext w:val="0"/>
        <w:keepLines w:val="0"/>
        <w:pageBreakBefore w:val="0"/>
        <w:widowControl w:val="0"/>
        <w:kinsoku/>
        <w:wordWrap/>
        <w:overflowPunct/>
        <w:topLinePunct w:val="0"/>
        <w:autoSpaceDE/>
        <w:autoSpaceDN/>
        <w:bidi w:val="0"/>
        <w:adjustRightInd/>
        <w:snapToGrid/>
        <w:spacing w:line="360" w:lineRule="auto"/>
        <w:ind w:right="-92" w:rightChars="-44"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（五）AI教学应用场景建设服务</w:t>
      </w:r>
    </w:p>
    <w:p w14:paraId="4919D09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5.1 24H智能学伴</w:t>
      </w:r>
    </w:p>
    <w:p w14:paraId="70A829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）基于课程模型进行知识答疑，满足学生在任何时间的学习需求，学生随时都可以向系统提问，获得及时的解答；</w:t>
      </w:r>
    </w:p>
    <w:p w14:paraId="6ADF79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）支持教师自定义 AI 智能学伴开场白及推荐问题；同时支持教师端进行 AI 学伴问答，可针对回答进行反馈，填写包含具体问题及正确回答的反馈意见，并设置是否将反馈答案加入答案库以优化回答准确度；支持反馈意见修改及删除</w:t>
      </w:r>
      <w:r>
        <w:rPr>
          <w:rFonts w:hint="eastAsia" w:ascii="宋体" w:hAnsi="宋体" w:eastAsia="宋体" w:cs="宋体"/>
          <w:color w:val="auto"/>
          <w:sz w:val="24"/>
          <w:highlight w:val="none"/>
          <w:lang w:eastAsia="zh-CN"/>
        </w:rPr>
        <w:t>；</w:t>
      </w:r>
    </w:p>
    <w:p w14:paraId="345551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）支持开展多个会话，保留历史会话，同时也可进行历史会话删除；</w:t>
      </w:r>
    </w:p>
    <w:p w14:paraId="6DD896D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）与学伴对话支持上传文件(至少10 个，每个文件大小不低于 15MB)，支持 pdf、doc、docx、xlsx、ppt、txt、md、csv、py、图片等；支持学伴语音回答问题，支持教师设置语音播报音色，系统内置音色或定制专属音色；支持教师设置学伴虚拟形象，支持动画虚拟形象或定制专属形象；支持在学伴中进行指令管理，包括移动或删除指令，创建新的指令分组；支持拖拽调整指令顺序；</w:t>
      </w:r>
    </w:p>
    <w:p w14:paraId="038A00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）支持AI绘图，通过描述生成图片；支持代码绘图，通过Python代码绘制曲线；</w:t>
      </w:r>
    </w:p>
    <w:p w14:paraId="3F5FD8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）支持联网检索，支持回答问题的同时联网检索资源进行补充回答；支持图片检索，在图片检索中，根据学伴提问，精准匹配图片；</w:t>
      </w:r>
    </w:p>
    <w:p w14:paraId="0291CC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）支持多轮对话，有上下文记忆功能，用于测试知识点学习、问卷调查、等场景，根据学生问题或选择进行持续对话；</w:t>
      </w:r>
    </w:p>
    <w:p w14:paraId="26CCC29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5.2 智能批改</w:t>
      </w:r>
    </w:p>
    <w:p w14:paraId="636013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）至少内置三个智能批改评分标准，包括评分项目、详细指标、指标权重；需支持智能批改，从而计算出评价分数；同时支持是否开启智能点评，教师可设置点评方向和点评风格；</w:t>
      </w:r>
    </w:p>
    <w:p w14:paraId="7BB2AD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支持教师设置批改评分标准后进行测试，包括设置分值、题目、参考答案或通过人工智能生成参考答案、最后填写作答内容进行批改测试，通过智能批改的测试查看是否需要调整评分标准；支持教师通过批改测试选择不同的批改规则进行调试智能批改效果；</w:t>
      </w:r>
    </w:p>
    <w:p w14:paraId="789DB2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）支持教师发布主观题到教学班，支持教师进入教学班中选择是否进行智能批改；支持教师选择批注的身份，包括智能批注助手或当前教师本人；</w:t>
      </w:r>
    </w:p>
    <w:p w14:paraId="7FE8ED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支持教师选择智能批改完成后是否需要经过教师审核，如不需审核，将直接生成批注和评语发送给学生，；支持教师对智能批改不满意后选择重新批改；支持保留教师多次批改记录，教师可查看历史批改效果；支持AI课程组教师自己使用批改规则或共享智能批改规则到课程组；</w:t>
      </w:r>
    </w:p>
    <w:p w14:paraId="283DB0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新建批改规则，支持至少建设文章批改、通用批改、编程批改三类规则，根据批改分类不同，使其更适用于当前批改场景；支持智能批改规则筛选，包括全部批改规则、教师本人批改规则、其他教师共享批改规则；</w:t>
      </w:r>
    </w:p>
    <w:p w14:paraId="1F2B1D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）支持对学生上传的pdf、word文件进行批改；支持下载教师智能批改后带批注的文件；</w:t>
      </w:r>
    </w:p>
    <w:p w14:paraId="5EB5ECE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5.3 智能备课助手</w:t>
      </w:r>
    </w:p>
    <w:p w14:paraId="586565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）支持教师在网页端进行在线文档备课，支持创建多个在线文档，支持在线文档自动保存；支持教师查看在线文档大纲；支持向备课助手发送文字和图片；</w:t>
      </w:r>
    </w:p>
    <w:p w14:paraId="38E04E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）支持备课助手将生成的内容一键插入到在线文档中；支持教师填写备课助手反馈意见，包括具体描述和更好的回答；支持教师查看与备课助手的历史对话或开展新对话；</w:t>
      </w:r>
    </w:p>
    <w:p w14:paraId="604ACB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）支持教师将在线文档编辑完成后，直接发布到教学班；支持教师设置发布时间、是否计入考核、考核截止时间、是否允许评论、是否微信消息提醒；</w:t>
      </w:r>
    </w:p>
    <w:p w14:paraId="0EF81C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）需支持在PPT插件中，根据选中文字AI生成案例或相关知识点的讲解或进行文字翻译，生成的案例或知识点讲解或翻译的文字可以一键插入PPT指定位置中；</w:t>
      </w:r>
    </w:p>
    <w:p w14:paraId="6E8857E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5.4 课堂授课助手</w:t>
      </w:r>
    </w:p>
    <w:p w14:paraId="78CDD1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支持在授课过程中，通过PPT唤起AI课堂授课助手，支持语音控制唤起课堂授课助手；支持通过课堂授课助手进行AI对话，支持将课堂授课助手的内容直接发送给学生；支持教师设置课堂授课助手常用指令，可以快速通过调用指令进行快捷提问；</w:t>
      </w:r>
    </w:p>
    <w:p w14:paraId="7CB95D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）支持通过语音控制课堂授课助手开启或关闭弹幕和随机点名；</w:t>
      </w:r>
    </w:p>
    <w:p w14:paraId="6F2A17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）支持课堂授课助手在授课过程中，根据PPT内容进行知识点答疑，支持在PPT中截图进行答疑；</w:t>
      </w:r>
      <w:r>
        <w:rPr>
          <w:rFonts w:hint="eastAsia" w:ascii="宋体" w:hAnsi="宋体" w:eastAsia="宋体" w:cs="宋体"/>
          <w:b/>
          <w:bCs/>
          <w:color w:val="auto"/>
          <w:sz w:val="24"/>
        </w:rPr>
        <w:t>（供应商需提供</w:t>
      </w:r>
      <w:r>
        <w:rPr>
          <w:rFonts w:hint="eastAsia" w:ascii="宋体" w:hAnsi="宋体" w:eastAsia="宋体" w:cs="宋体"/>
          <w:b/>
          <w:bCs/>
          <w:color w:val="auto"/>
          <w:sz w:val="24"/>
          <w:lang w:val="en-US" w:eastAsia="zh-CN"/>
        </w:rPr>
        <w:t>此项功能说明或类似此项功能截图</w:t>
      </w:r>
      <w:r>
        <w:rPr>
          <w:rFonts w:hint="eastAsia" w:ascii="宋体" w:hAnsi="宋体" w:eastAsia="宋体" w:cs="宋体"/>
          <w:b/>
          <w:bCs/>
          <w:color w:val="auto"/>
          <w:sz w:val="24"/>
        </w:rPr>
        <w:t>以佐证并加盖供应商公章）</w:t>
      </w:r>
    </w:p>
    <w:p w14:paraId="0B876C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支持教师提前设置学生与课堂授课助手多轮对话指令，设置课堂授课助手指令开场白，对话内容，支持教师在授课过程中将指令任务发送给学生，支持学生手机端与课堂授课助手进行对话；支持教师查看学生指令任务进行情况，包括作答详情；</w:t>
      </w:r>
    </w:p>
    <w:p w14:paraId="01E6C1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）支持教师同时发布多个指令任务；支持教师查看指令任务的发布时间；累计用时、启动人数、未开始人数;</w:t>
      </w:r>
      <w:r>
        <w:rPr>
          <w:rFonts w:hint="eastAsia" w:ascii="宋体" w:hAnsi="宋体" w:eastAsia="宋体" w:cs="宋体"/>
          <w:b/>
          <w:bCs/>
          <w:color w:val="auto"/>
          <w:sz w:val="24"/>
        </w:rPr>
        <w:t>（供应商需提供</w:t>
      </w:r>
      <w:r>
        <w:rPr>
          <w:rFonts w:hint="eastAsia" w:ascii="宋体" w:hAnsi="宋体" w:eastAsia="宋体" w:cs="宋体"/>
          <w:b/>
          <w:bCs/>
          <w:color w:val="auto"/>
          <w:sz w:val="24"/>
          <w:lang w:val="en-US" w:eastAsia="zh-CN"/>
        </w:rPr>
        <w:t>此项功能说明或类似此项功能截图</w:t>
      </w:r>
      <w:r>
        <w:rPr>
          <w:rFonts w:hint="eastAsia" w:ascii="宋体" w:hAnsi="宋体" w:eastAsia="宋体" w:cs="宋体"/>
          <w:b/>
          <w:bCs/>
          <w:color w:val="auto"/>
          <w:sz w:val="24"/>
        </w:rPr>
        <w:t>以佐证并加盖供应商公章）</w:t>
      </w:r>
    </w:p>
    <w:p w14:paraId="19D25A2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5.5题库建设</w:t>
      </w:r>
    </w:p>
    <w:p w14:paraId="59EB5F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）支持教师根据知识点出题，可设置知识点、难度系数、题目数量、题目类型和具体出题要求，支持设置多个出题要求；</w:t>
      </w:r>
    </w:p>
    <w:p w14:paraId="63DC84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支持教师设置至少包含判断题、填空题、主观题、单选题、多选题。其中单选题和多选题支持设置选项数量；支持生成的题目至少包含题干、答案、解析；支持生成的题目直接加入教师题库；支持生成的题目可直接进行编辑，包括题干、选项、答案、解析，可新增选项；</w:t>
      </w:r>
    </w:p>
    <w:p w14:paraId="30C84D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）支持教师根据AI出题进行意见反馈，同时根据教师反馈意见进行持续优化，支持查看历史出题记录；</w:t>
      </w:r>
    </w:p>
    <w:p w14:paraId="3995C9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）支持根据视频内容，智能出题，同时将题目一键插入到对应的知识点，同时支持教师修改题干、选项、答案、解析）</w:t>
      </w:r>
    </w:p>
    <w:p w14:paraId="2A4704C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5.6 资源推荐</w:t>
      </w:r>
    </w:p>
    <w:p w14:paraId="59F372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）支持根据学生提问的知识点或者材料要求，智能进行资源推荐；支持联网检索相关学习资源，包括视频、论文等；</w:t>
      </w:r>
    </w:p>
    <w:p w14:paraId="49958E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）支持资源智能推荐时，可推荐高校以及国外的优质的MOOC视频，免费内置不少于5000门完整慕课课程视频、200000条视频文件，每条视频时长5-15分钟；</w:t>
      </w:r>
      <w:r>
        <w:rPr>
          <w:rFonts w:hint="eastAsia" w:ascii="宋体" w:hAnsi="宋体" w:eastAsia="宋体" w:cs="宋体"/>
          <w:b/>
          <w:bCs/>
          <w:color w:val="auto"/>
          <w:sz w:val="24"/>
          <w:highlight w:val="none"/>
        </w:rPr>
        <w:t>（供应商需提供</w:t>
      </w:r>
      <w:r>
        <w:rPr>
          <w:rFonts w:hint="eastAsia" w:ascii="宋体" w:hAnsi="宋体" w:eastAsia="宋体" w:cs="宋体"/>
          <w:b/>
          <w:bCs/>
          <w:color w:val="auto"/>
          <w:sz w:val="24"/>
          <w:highlight w:val="none"/>
          <w:lang w:val="en-US" w:eastAsia="zh-CN"/>
        </w:rPr>
        <w:t>此项功能说明或类似此项功能截图</w:t>
      </w:r>
      <w:r>
        <w:rPr>
          <w:rFonts w:hint="eastAsia" w:ascii="宋体" w:hAnsi="宋体" w:eastAsia="宋体" w:cs="宋体"/>
          <w:b/>
          <w:bCs/>
          <w:color w:val="auto"/>
          <w:sz w:val="24"/>
          <w:highlight w:val="none"/>
        </w:rPr>
        <w:t>以佐证并加盖供应商公章）</w:t>
      </w:r>
      <w:r>
        <w:rPr>
          <w:rFonts w:hint="eastAsia" w:ascii="宋体" w:hAnsi="宋体" w:eastAsia="宋体" w:cs="宋体"/>
          <w:b/>
          <w:bCs/>
          <w:color w:val="auto"/>
          <w:sz w:val="24"/>
          <w:highlight w:val="none"/>
          <w:lang w:eastAsia="zh-CN"/>
        </w:rPr>
        <w:t>；</w:t>
      </w:r>
    </w:p>
    <w:p w14:paraId="177427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）支持教师设置知识库中的资源是否被推荐，包含关联资源、电子教材、讲义课件、相关论文、相关案例或其他资料；支持教师设置资源推荐开放的应用，开放后，学生在使用时可以进行资源推荐；</w:t>
      </w:r>
    </w:p>
    <w:p w14:paraId="6D33DE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）支持教师可在工作台和指定网站进行资源推荐与检索；支持资源检索和推荐中通过教师的历史搜索，推荐联想的搜索，方便教师进行快速定位；</w:t>
      </w:r>
    </w:p>
    <w:p w14:paraId="15A0C95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5.7 智能体协作</w:t>
      </w:r>
    </w:p>
    <w:p w14:paraId="039005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）支持创建角色扮演类型智能体；支持设置智能体基本信息，包含智能体标题、自定义智能体头像、添加智能体说明；</w:t>
      </w:r>
    </w:p>
    <w:p w14:paraId="11AAA0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支持设置智能体使用场景，包括对话场景、场景描述、AI角色、使用者角色及AI人设信息；支持智能体对话设置，支持设置开场白；设置智能体推荐问题，推荐问题可以直接进行交互；支持智能体单独设置知识库加强智能体角色信息和角色资料；</w:t>
      </w:r>
    </w:p>
    <w:p w14:paraId="72D6BED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）支持设置智能体多个对话结束判断，使用者触发结束判断后，自动结束对话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支持拖拽调整结束判断；支持智能体对话评价设置，添加多个考核项，设置考核项分值；支持智能体评价内容输出格式，支持自定义格式或直接根据考核项输出；</w:t>
      </w:r>
    </w:p>
    <w:p w14:paraId="2FF6013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5.8教学运行</w:t>
      </w:r>
    </w:p>
    <w:p w14:paraId="4F05474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）至少支持运行概览、应用洞察、智能预警、学生画像、教学评价、智能报告、运行明细、运行调研八个模块；</w:t>
      </w:r>
    </w:p>
    <w:p w14:paraId="0A2CA2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）支持查看知识图谱建设数据（含自测习题 / 学习单元数量及知识点覆盖率）、资源发布对比图（视频、图文等多类型资源）、知识点数量漏斗图（总知识点 / 发布知识点 / 学生学习知识点），以及本周与上周学习人数、学习知识点数量的升降百分比对比</w:t>
      </w:r>
      <w:r>
        <w:rPr>
          <w:rFonts w:hint="eastAsia" w:ascii="宋体" w:hAnsi="宋体" w:eastAsia="宋体" w:cs="宋体"/>
          <w:color w:val="auto"/>
          <w:sz w:val="24"/>
          <w:highlight w:val="none"/>
          <w:lang w:eastAsia="zh-CN"/>
        </w:rPr>
        <w:t>；</w:t>
      </w:r>
    </w:p>
    <w:p w14:paraId="62DDF8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）支持查看班级知识点完成概况，已完成占比、未开始占比、进行中占比；支持查看完成知识点的学习类型分布，将按照学习单元的类型分别统计每个类型的占比；</w:t>
      </w:r>
    </w:p>
    <w:p w14:paraId="6FCCC7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）支持查看知识点完成情况分析，按照100%、80%、60%、0%进行筛选；同时不同百分比通过不同颜色标识；</w:t>
      </w:r>
    </w:p>
    <w:p w14:paraId="211ED7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）支持按照学生查看学生姓名、学号、知识点掌握率、知识点学习内容未开始数量、进行中数量、完成数量、知识点完成率、自测题作答情况、正确数量、正确率；支持导出表格；</w:t>
      </w:r>
    </w:p>
    <w:p w14:paraId="5DCE5E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）支持查看 24 小时智能学伴运行明细数据，可按时间周期、班级学期、班级名称、提问角色、问题属性、反馈情况等多维度筛选，支持按提问者姓名或提问内容搜索，能展示提问者姓名、教学班名称、问答内容、提问入口、提问时间等信息并支持导出</w:t>
      </w:r>
      <w:r>
        <w:rPr>
          <w:rFonts w:hint="eastAsia" w:ascii="宋体" w:hAnsi="宋体" w:eastAsia="宋体" w:cs="宋体"/>
          <w:color w:val="auto"/>
          <w:sz w:val="24"/>
          <w:highlight w:val="none"/>
          <w:shd w:val="clear" w:color="auto" w:fill="FFFFFF"/>
          <w:lang w:eastAsia="zh-CN"/>
        </w:rPr>
        <w:t>；</w:t>
      </w:r>
    </w:p>
    <w:p w14:paraId="655BBC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支持24小时智能学伴应用洞察，包括按照班级所属学期、教学班名称进行筛选；支持查看24小时智能学伴师生使用概况，包括使用总次数、覆盖班级数、教师数、使用学生数、选课学生数、学生使用率、学生使用次数、学生平均使用次数、学生使用时长、学生平均使用时长等数据；</w:t>
      </w:r>
    </w:p>
    <w:p w14:paraId="5D1BB0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）支持查看24小时智能学伴高频问题，可按照问题类型进行筛选，支持查看不同问题类型的提问次数与百分比；支持指令分析，包含指令条数、学生使用指令条数、指令详情、学生使用次数等；</w:t>
      </w:r>
    </w:p>
    <w:p w14:paraId="5E2865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）支持查看常问教学活动、对应活动提问次数、学生提问入口、占比与次数可视化展示；</w:t>
      </w:r>
    </w:p>
    <w:p w14:paraId="7C098B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）支持查看24小时智能学伴学生使用趋势，可视化展示使用日期、提问次数、使用时长等数据信息；支持可视化展示24小时智能学伴学生使用时间统计热力图；</w:t>
      </w:r>
    </w:p>
    <w:p w14:paraId="744148C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5.9指令库</w:t>
      </w:r>
    </w:p>
    <w:p w14:paraId="3C3A51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）需支持指令库管理，教师可以设置多种指令卡片，同时支持设置指令分组，拖动不同分组位置，筛选查看不同分组的指令；</w:t>
      </w:r>
    </w:p>
    <w:p w14:paraId="0E114A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）需支持教师自定义创建指令，包括指令标题、详细指令内容、短指令、支持学生仅展示短指令；</w:t>
      </w:r>
    </w:p>
    <w:p w14:paraId="74AB0D7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）支持指令创建的同时可以进行指令测试方便教师调整指令效果；支持教师设置指令的应用场景，设置后仅在该场景可查看指令，其他场景无法查看该指令；</w:t>
      </w:r>
    </w:p>
    <w:p w14:paraId="2CC4E6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）支持创建指令内容时上传文件，支持pdf、doc、docx、xlsx、ppt、txt、md、csv、py、图片等；</w:t>
      </w:r>
    </w:p>
    <w:p w14:paraId="2239DA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）支持设置特殊指令，包含AI绘图、代码绘图、联网检索、图片检索等；</w:t>
      </w:r>
      <w:r>
        <w:rPr>
          <w:rFonts w:hint="eastAsia" w:ascii="宋体" w:hAnsi="宋体" w:eastAsia="宋体" w:cs="宋体"/>
          <w:b/>
          <w:bCs/>
          <w:color w:val="auto"/>
          <w:sz w:val="24"/>
        </w:rPr>
        <w:t>（供应商需提供</w:t>
      </w:r>
      <w:r>
        <w:rPr>
          <w:rFonts w:hint="eastAsia" w:ascii="宋体" w:hAnsi="宋体" w:eastAsia="宋体" w:cs="宋体"/>
          <w:b/>
          <w:bCs/>
          <w:color w:val="auto"/>
          <w:sz w:val="24"/>
          <w:lang w:val="en-US" w:eastAsia="zh-CN"/>
        </w:rPr>
        <w:t>此项功能说明或类似此项功能截图</w:t>
      </w:r>
      <w:r>
        <w:rPr>
          <w:rFonts w:hint="eastAsia" w:ascii="宋体" w:hAnsi="宋体" w:eastAsia="宋体" w:cs="宋体"/>
          <w:b/>
          <w:bCs/>
          <w:color w:val="auto"/>
          <w:sz w:val="24"/>
        </w:rPr>
        <w:t>以佐证并加盖供应商公章）</w:t>
      </w:r>
    </w:p>
    <w:p w14:paraId="60EEBEA6">
      <w:pPr>
        <w:pStyle w:val="2"/>
        <w:keepNext w:val="0"/>
        <w:keepLines w:val="0"/>
        <w:pageBreakBefore w:val="0"/>
        <w:widowControl w:val="0"/>
        <w:kinsoku/>
        <w:wordWrap/>
        <w:overflowPunct/>
        <w:topLinePunct w:val="0"/>
        <w:autoSpaceDE/>
        <w:autoSpaceDN/>
        <w:bidi w:val="0"/>
        <w:adjustRightInd/>
        <w:snapToGrid/>
        <w:spacing w:line="360" w:lineRule="auto"/>
        <w:ind w:right="-92" w:rightChars="-44" w:firstLine="480" w:firstLineChars="200"/>
        <w:textAlignment w:val="auto"/>
        <w:rPr>
          <w:rFonts w:hint="eastAsia" w:ascii="宋体" w:hAnsi="宋体" w:eastAsia="宋体" w:cs="宋体"/>
          <w:b/>
          <w:bCs/>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）支持创建多轮对话指令，支持对指令单独配置开场白，推荐问题，支持对多轮对话场景进行特殊配置，包含角色信息，角色特点等；</w:t>
      </w:r>
      <w:r>
        <w:rPr>
          <w:rFonts w:hint="eastAsia" w:ascii="宋体" w:hAnsi="宋体" w:eastAsia="宋体" w:cs="宋体"/>
          <w:b/>
          <w:bCs/>
          <w:color w:val="auto"/>
          <w:sz w:val="24"/>
        </w:rPr>
        <w:t>（供应商需提供</w:t>
      </w:r>
      <w:r>
        <w:rPr>
          <w:rFonts w:hint="eastAsia" w:ascii="宋体" w:hAnsi="宋体" w:eastAsia="宋体" w:cs="宋体"/>
          <w:b/>
          <w:bCs/>
          <w:color w:val="auto"/>
          <w:sz w:val="24"/>
          <w:lang w:val="en-US" w:eastAsia="zh-CN"/>
        </w:rPr>
        <w:t>此项功能说明或类似此项功能截图</w:t>
      </w:r>
      <w:r>
        <w:rPr>
          <w:rFonts w:hint="eastAsia" w:ascii="宋体" w:hAnsi="宋体" w:eastAsia="宋体" w:cs="宋体"/>
          <w:b/>
          <w:bCs/>
          <w:color w:val="auto"/>
          <w:sz w:val="24"/>
        </w:rPr>
        <w:t>以佐证并加盖供应商公章）</w:t>
      </w:r>
    </w:p>
    <w:p w14:paraId="35D0E0A7">
      <w:pPr>
        <w:pStyle w:val="2"/>
        <w:keepNext w:val="0"/>
        <w:keepLines w:val="0"/>
        <w:pageBreakBefore w:val="0"/>
        <w:widowControl w:val="0"/>
        <w:kinsoku/>
        <w:wordWrap/>
        <w:overflowPunct/>
        <w:topLinePunct w:val="0"/>
        <w:autoSpaceDE/>
        <w:autoSpaceDN/>
        <w:bidi w:val="0"/>
        <w:adjustRightInd/>
        <w:snapToGrid/>
        <w:spacing w:line="360" w:lineRule="auto"/>
        <w:ind w:right="-92" w:rightChars="-44"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（六)AI教学管理建设服务</w:t>
      </w:r>
    </w:p>
    <w:p w14:paraId="78DCFA2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）支持将AI能力应用到教学班，在应用时可以浏览不同学期的教学班；</w:t>
      </w:r>
    </w:p>
    <w:p w14:paraId="6990A6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）支持教师查看应用班级列表，支持班级主讲教师分享学伴二维码和链接，支持学生通过微信扫码直接与学伴进行对话，支持教师设置微信扫码时推送文案；</w:t>
      </w:r>
    </w:p>
    <w:p w14:paraId="4BD2D6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）支持教师在AI工作台查看AI课程列表，切换AI课程；</w:t>
      </w:r>
    </w:p>
    <w:p w14:paraId="1B483F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）需支持一门课程通过功能开关控制知识库是否启用；</w:t>
      </w:r>
      <w:r>
        <w:rPr>
          <w:rFonts w:hint="eastAsia" w:ascii="宋体" w:hAnsi="宋体" w:eastAsia="宋体" w:cs="宋体"/>
          <w:b/>
          <w:bCs/>
          <w:color w:val="auto"/>
          <w:sz w:val="24"/>
        </w:rPr>
        <w:t>（供应商需提供</w:t>
      </w:r>
      <w:r>
        <w:rPr>
          <w:rFonts w:hint="eastAsia" w:ascii="宋体" w:hAnsi="宋体" w:eastAsia="宋体" w:cs="宋体"/>
          <w:b/>
          <w:bCs/>
          <w:color w:val="auto"/>
          <w:sz w:val="24"/>
          <w:lang w:val="en-US" w:eastAsia="zh-CN"/>
        </w:rPr>
        <w:t>此项功能说明或类似此项功能截图</w:t>
      </w:r>
      <w:r>
        <w:rPr>
          <w:rFonts w:hint="eastAsia" w:ascii="宋体" w:hAnsi="宋体" w:eastAsia="宋体" w:cs="宋体"/>
          <w:b/>
          <w:bCs/>
          <w:color w:val="auto"/>
          <w:sz w:val="24"/>
        </w:rPr>
        <w:t>以佐证并加盖供应商公章）</w:t>
      </w:r>
    </w:p>
    <w:p w14:paraId="2CD5A7C5">
      <w:pPr>
        <w:pStyle w:val="2"/>
        <w:keepNext w:val="0"/>
        <w:keepLines w:val="0"/>
        <w:pageBreakBefore w:val="0"/>
        <w:widowControl w:val="0"/>
        <w:kinsoku/>
        <w:wordWrap/>
        <w:overflowPunct/>
        <w:topLinePunct w:val="0"/>
        <w:autoSpaceDE/>
        <w:autoSpaceDN/>
        <w:bidi w:val="0"/>
        <w:adjustRightInd/>
        <w:snapToGrid/>
        <w:spacing w:line="360" w:lineRule="auto"/>
        <w:ind w:left="0" w:leftChars="0" w:right="-92" w:rightChars="-44"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）支持教师通过工作台进入AI课程门户展示页面及编辑页面，支持教师复制门户链接进行分享；</w:t>
      </w:r>
    </w:p>
    <w:p w14:paraId="0150DEED">
      <w:pPr>
        <w:pStyle w:val="2"/>
        <w:keepNext w:val="0"/>
        <w:keepLines w:val="0"/>
        <w:pageBreakBefore w:val="0"/>
        <w:widowControl w:val="0"/>
        <w:kinsoku/>
        <w:wordWrap/>
        <w:overflowPunct/>
        <w:topLinePunct w:val="0"/>
        <w:autoSpaceDE/>
        <w:autoSpaceDN/>
        <w:bidi w:val="0"/>
        <w:adjustRightInd/>
        <w:snapToGrid/>
        <w:spacing w:line="360" w:lineRule="auto"/>
        <w:ind w:right="-92" w:rightChars="-44"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(七）AI学习空间建设服务</w:t>
      </w:r>
    </w:p>
    <w:p w14:paraId="721A0E0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7.1网页端</w:t>
      </w:r>
    </w:p>
    <w:p w14:paraId="7AD6DA5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）支持教学班中包含AI学伴，学生进入班级中，无需点击学习单元即可与学伴展开对话；支持学伴宽屏显示，支持学生通过教学内容，智能分析教学内容对应的知识点，与AI智能学伴进行互动交流</w:t>
      </w:r>
    </w:p>
    <w:p w14:paraId="187FD1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）支持学生根据老师设定好的指令，通过更改提示语进行快速提问</w:t>
      </w:r>
    </w:p>
    <w:p w14:paraId="6DF979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）支持学生通过在课堂直播过程中，点击课件“不懂”按键，进行AI助教智能答疑；支持学生通过在观看课堂回放，点击课件“不懂”按键，进行AI助教智能答疑</w:t>
      </w:r>
    </w:p>
    <w:p w14:paraId="7927A8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）支持学生通过在教师发布的预习课件，点击课件不懂，进行AI助教智能答疑；</w:t>
      </w:r>
    </w:p>
    <w:p w14:paraId="7C6960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）支持学生通过知识图谱进行学习，点击知识点进入AI学习空间，同时展示学习内容与AI学伴，支持学生在学习空间中与数字人教师进行互动； </w:t>
      </w:r>
    </w:p>
    <w:p w14:paraId="2A75EA8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）支持学生在学习空间观看数字人教师进行PPT讲解；支持学生在观看教学活动的任务中，学伴自动推送相关知识点内容、知识点习题、关联知识点；</w:t>
      </w:r>
    </w:p>
    <w:p w14:paraId="3B12A8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）支持学生手机扫码，快速打开移动端进行知识点学习；支持在知识图谱中知识点关键词搜索，搜索结果高亮显示；</w:t>
      </w:r>
    </w:p>
    <w:p w14:paraId="18B824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）支持学生选择知识点，展示该知识点上的学习内容和知识点详情，包括知识说明、知识分类、认知维度、难度系数；支持学生查看知识点目录，点击快速跳转到其他知识点进行学习；</w:t>
      </w:r>
    </w:p>
    <w:p w14:paraId="2E6813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）支持学生查看视频生成的知识导引，获取知识点总结及标题；同时可查看按时间轴排序的教师讲稿，支持通过知识导引快速定位讲稿内容，或从讲稿快速跳转至对应视频片段</w:t>
      </w:r>
      <w:r>
        <w:rPr>
          <w:rFonts w:hint="eastAsia" w:ascii="宋体" w:hAnsi="宋体" w:eastAsia="宋体" w:cs="宋体"/>
          <w:color w:val="auto"/>
          <w:sz w:val="24"/>
          <w:lang w:eastAsia="zh-CN"/>
        </w:rPr>
        <w:t>；</w:t>
      </w:r>
    </w:p>
    <w:p w14:paraId="7D2947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10</w:t>
      </w:r>
      <w:r>
        <w:rPr>
          <w:rFonts w:hint="eastAsia" w:ascii="宋体" w:hAnsi="宋体" w:eastAsia="宋体" w:cs="宋体"/>
          <w:color w:val="auto"/>
          <w:sz w:val="24"/>
        </w:rPr>
        <w:t>）支持学生通过点击某一知识点查看知识点学习路径；支持根据学生的学习进度，知识点有不同的展示效果；支持学生查看自己的知识点学习进度与掌握度。</w:t>
      </w:r>
    </w:p>
    <w:p w14:paraId="46750C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11</w:t>
      </w:r>
      <w:r>
        <w:rPr>
          <w:rFonts w:hint="eastAsia" w:ascii="宋体" w:hAnsi="宋体" w:eastAsia="宋体" w:cs="宋体"/>
          <w:color w:val="auto"/>
          <w:sz w:val="24"/>
        </w:rPr>
        <w:t>）支持学生按教师教学设计，在不同时间与智能体自动交互；通过 AI 学伴为学生进行资源智能推荐；学生可与学伴开展多个会话，能保留、删除历史会话；支持学生与学伴对话时上传至少 10 个、单个不低于 15MB 的文件，涵盖 pdf、doc、docx、xlsx、ppt、txt、md、csv、py、图片等格式；</w:t>
      </w:r>
    </w:p>
    <w:p w14:paraId="6AA51C0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7.2移动端</w:t>
      </w:r>
    </w:p>
    <w:p w14:paraId="6C7438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）支持手机 H5 页面及小程序，具备以下功能：教学班中学生进入班级无需点击学习单元即可与学伴对话；可智能分析教学内容对应的知识点，供学生与学伴互动交流；学生能根据老师设定的指令，通过更改提示语快速提问；</w:t>
      </w:r>
    </w:p>
    <w:p w14:paraId="543A64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w:t>
      </w:r>
      <w:r>
        <w:rPr>
          <w:rFonts w:hint="eastAsia" w:ascii="宋体" w:hAnsi="宋体" w:eastAsia="宋体" w:cs="宋体"/>
          <w:color w:val="auto"/>
          <w:sz w:val="24"/>
          <w:highlight w:val="none"/>
        </w:rPr>
        <w:t>支持学生手机H5页面、小程序通过在观看课堂回放，查看人工智能总结的课堂思维导图、知识导引、讲稿；支持讲稿进行搜索；支持学生通过知识点扫码进入手机端AI学习空间，同时展示学习内容与AI学伴；</w:t>
      </w:r>
    </w:p>
    <w:p w14:paraId="5510881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支持手机H5页面学生在学习空间观看数字人教师进行PPT讲解及与数字人教师互动；</w:t>
      </w:r>
    </w:p>
    <w:p w14:paraId="541A9A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rPr>
        <w:t>）支持手机H5页面学生在观看教学活动的任务中，学伴自动推送相关知识点内容、知识点习题、关联知识点；学生可根据知识点目录，点击快速跳转到其他知识点进行学习；</w:t>
      </w:r>
    </w:p>
    <w:p w14:paraId="2F46A313">
      <w:pPr>
        <w:pStyle w:val="2"/>
        <w:keepNext w:val="0"/>
        <w:keepLines w:val="0"/>
        <w:pageBreakBefore w:val="0"/>
        <w:widowControl w:val="0"/>
        <w:kinsoku/>
        <w:wordWrap/>
        <w:overflowPunct/>
        <w:topLinePunct w:val="0"/>
        <w:autoSpaceDE/>
        <w:autoSpaceDN/>
        <w:bidi w:val="0"/>
        <w:adjustRightInd/>
        <w:snapToGrid/>
        <w:spacing w:line="360" w:lineRule="auto"/>
        <w:ind w:left="0" w:leftChars="0" w:right="-92" w:rightChars="-44"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支持手机H5页面学生查看视频内容生成的知识导引，进行知识点总结归纳并形成标题，可通过导引快速定位视频；支持查看视频生成的教师讲稿（按时间轴排序），可通过知识导引快速定位讲稿、讲稿快速定位视频内容；支持学生在 AI 学习空间与 AI 学伴进行智能问答和智能出题；支持查看资源智能推荐；支持与学伴开展多个会话、保留或删除历史会话；支持对话中上传至少 10 个、单个不低于 15MB 的文件，涵盖 pdf、doc、docx、xlsx、ppt、txt、md、csv、py、图片等格式；</w:t>
      </w:r>
    </w:p>
    <w:p w14:paraId="00A13D74">
      <w:pPr>
        <w:pStyle w:val="2"/>
        <w:keepNext w:val="0"/>
        <w:keepLines w:val="0"/>
        <w:pageBreakBefore w:val="0"/>
        <w:widowControl w:val="0"/>
        <w:kinsoku/>
        <w:wordWrap/>
        <w:overflowPunct/>
        <w:topLinePunct w:val="0"/>
        <w:autoSpaceDE/>
        <w:autoSpaceDN/>
        <w:bidi w:val="0"/>
        <w:adjustRightInd/>
        <w:snapToGrid/>
        <w:spacing w:line="360" w:lineRule="auto"/>
        <w:ind w:right="-92" w:rightChars="-44"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（八）AI课程门户设计服务</w:t>
      </w:r>
    </w:p>
    <w:p w14:paraId="10AA70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sz w:val="24"/>
          <w:highlight w:val="none"/>
        </w:rPr>
        <w:t>门户主题色支持配置；支持至少6种主题色选择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门户风格布局；支持至少两种布局切换;</w:t>
      </w:r>
    </w:p>
    <w:p w14:paraId="31261A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）支持上传学校logo，支持选择logo配置位置；</w:t>
      </w:r>
    </w:p>
    <w:p w14:paraId="237B5C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支持设置主图样式，至少包括模型展示及自定义图片；支持背景图片设置显示位置；支持设置课程标签、设置课程教师，至少包括教师姓名和头像，支持设置多个教师；支持设置导航颜色为白色或者根据主题色自动适配；支持导航自定义学校logo和课程英文名称；</w:t>
      </w:r>
    </w:p>
    <w:p w14:paraId="5E2A5C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）支持设置导航显示模块，包括课程概述、知识模型、能力模型、问题模型、AI应</w:t>
      </w:r>
      <w:r>
        <w:rPr>
          <w:rFonts w:hint="eastAsia" w:ascii="宋体" w:hAnsi="宋体" w:eastAsia="宋体" w:cs="宋体"/>
          <w:color w:val="auto"/>
          <w:sz w:val="24"/>
        </w:rPr>
        <w:t>用、资源地图、教学运行，支持拖拽调整导航顺序；</w:t>
      </w:r>
      <w:r>
        <w:rPr>
          <w:rFonts w:hint="eastAsia" w:ascii="宋体" w:hAnsi="宋体" w:eastAsia="宋体" w:cs="宋体"/>
          <w:b/>
          <w:bCs/>
          <w:color w:val="auto"/>
          <w:sz w:val="24"/>
        </w:rPr>
        <w:t>（供应商需提供</w:t>
      </w:r>
      <w:r>
        <w:rPr>
          <w:rFonts w:hint="eastAsia" w:ascii="宋体" w:hAnsi="宋体" w:eastAsia="宋体" w:cs="宋体"/>
          <w:b/>
          <w:bCs/>
          <w:color w:val="auto"/>
          <w:sz w:val="24"/>
          <w:lang w:val="en-US" w:eastAsia="zh-CN"/>
        </w:rPr>
        <w:t>此项功能说明或类似此项功能截图</w:t>
      </w:r>
      <w:r>
        <w:rPr>
          <w:rFonts w:hint="eastAsia" w:ascii="宋体" w:hAnsi="宋体" w:eastAsia="宋体" w:cs="宋体"/>
          <w:b/>
          <w:bCs/>
          <w:color w:val="auto"/>
          <w:sz w:val="24"/>
        </w:rPr>
        <w:t>以佐证并加盖供应商公章）</w:t>
      </w:r>
    </w:p>
    <w:p w14:paraId="353827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）支持门户设置数字人展示，支持自定义数字人位置，支持添加至少两个数字人形象进行展示，支持设置数字人教师语音内容，支持设置是否重复播放；</w:t>
      </w:r>
    </w:p>
    <w:p w14:paraId="6ED99A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）支持门户首页配</w:t>
      </w:r>
      <w:r>
        <w:rPr>
          <w:rFonts w:hint="eastAsia" w:ascii="宋体" w:hAnsi="宋体" w:eastAsia="宋体" w:cs="宋体"/>
          <w:color w:val="auto"/>
          <w:sz w:val="24"/>
        </w:rPr>
        <w:t>置至少三个页面导航，支持导航自定义名称及导航首页背景图；</w:t>
      </w:r>
    </w:p>
    <w:p w14:paraId="782BE5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）支持增强知识库进行展示，支持设置增强知识库分类，支持配置分类名称和定义封面；</w:t>
      </w:r>
    </w:p>
    <w:p w14:paraId="029063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支持展示优质知识片段，支持单个添加、删除和批量管理，支持调整知识片段顺序；支持设置是否展示知识图谱、问题图谱、能力图谱；支持设置展示知识体系结构，至少两种展示样式；支持设置知识图谱展示形式，包括展开层级、视图形式；支持设置热门知识点，知识点来源于知识图谱，通过点击热门知识点可直接进入学习空间；支持设置AI指令分组，支持设置分组名称、分组图片；</w:t>
      </w:r>
    </w:p>
    <w:p w14:paraId="0D76EB0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8.2课程概述</w:t>
      </w:r>
    </w:p>
    <w:p w14:paraId="4DBE21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）支持设置课程建设成果展示，至少包含资源地图、课程模型、课程荣誉，支持自定义课程成果展示模块；</w:t>
      </w:r>
      <w:r>
        <w:rPr>
          <w:rFonts w:hint="eastAsia" w:ascii="宋体" w:hAnsi="宋体" w:eastAsia="宋体" w:cs="宋体"/>
          <w:b/>
          <w:bCs/>
          <w:color w:val="auto"/>
          <w:sz w:val="24"/>
        </w:rPr>
        <w:t>（供应商需提供</w:t>
      </w:r>
      <w:r>
        <w:rPr>
          <w:rFonts w:hint="eastAsia" w:ascii="宋体" w:hAnsi="宋体" w:eastAsia="宋体" w:cs="宋体"/>
          <w:b/>
          <w:bCs/>
          <w:color w:val="auto"/>
          <w:sz w:val="24"/>
          <w:lang w:val="en-US" w:eastAsia="zh-CN"/>
        </w:rPr>
        <w:t>此项功能说明或类似此项功能截图</w:t>
      </w:r>
      <w:r>
        <w:rPr>
          <w:rFonts w:hint="eastAsia" w:ascii="宋体" w:hAnsi="宋体" w:eastAsia="宋体" w:cs="宋体"/>
          <w:b/>
          <w:bCs/>
          <w:color w:val="auto"/>
          <w:sz w:val="24"/>
        </w:rPr>
        <w:t>以佐证并加盖供应商公章）</w:t>
      </w:r>
    </w:p>
    <w:p w14:paraId="4996D5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支持设置课程介绍展示页面，至少包括课程背景、课程定位，支持自定义课程介绍展示模块；支持设置教师团队展示模块，支持自定义教师团队展示模块；自定义新的课程展示模块，包括模块分组及详细的模块内容；</w:t>
      </w:r>
    </w:p>
    <w:p w14:paraId="3536F3B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8.2.1建设成果</w:t>
      </w:r>
    </w:p>
    <w:p w14:paraId="5EF9053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8.2.1.1资源地图</w:t>
      </w:r>
    </w:p>
    <w:p w14:paraId="7162FC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展示课程资源地图，包括教材、讲义、论文、习题、作业、试卷、视频等类型资源的数量统计；支持资源地图展示视频时长、知识片段数量、课程资源总字数；支持资源地图展示页面自定义背景图片，包括背景图片显示位置；</w:t>
      </w:r>
    </w:p>
    <w:p w14:paraId="4D57DBE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8.2.1.2课程模型</w:t>
      </w:r>
    </w:p>
    <w:p w14:paraId="1519E52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rPr>
        <w:t>支持展示课程知识模型、问题模型、能力模型金字塔；支持展示能力模型的能力点数量、覆盖知识点；支持展示问题模型的问题数量、问答对数量、覆盖知识点数量；支持展示知识模型的知识点数量、学习资源数量、习题数量；支持课程模型展示页面自定义背景图片，包括背景图片显示位置；</w:t>
      </w:r>
    </w:p>
    <w:p w14:paraId="58F62CF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8.2.1.3课程荣誉</w:t>
      </w:r>
    </w:p>
    <w:p w14:paraId="1885901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）支持课程设置荣誉列表，新增课程荣誉；支持至少三种课程荣誉展示图标，支持设置课程荣誉日期、设置相关描述、支持设置课程荣誉图片；支持课程荣誉展示页面自定义背景图片，包括背景图片显示位置；</w:t>
      </w:r>
    </w:p>
    <w:p w14:paraId="46BC5BD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8.2.2课程介绍</w:t>
      </w:r>
    </w:p>
    <w:p w14:paraId="030719B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8.2.2.1课程背景</w:t>
      </w:r>
    </w:p>
    <w:p w14:paraId="4D0133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）支持课程背景展示页面自定义背景图片，包括背景图片显示位置；支持设置课程背景布局，至少包含图文布局及是否包含底板边框；支持设置课程背景介绍正文及自定义图片；</w:t>
      </w:r>
    </w:p>
    <w:p w14:paraId="40CB14B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8.2.2.2课程定位</w:t>
      </w:r>
    </w:p>
    <w:p w14:paraId="75ABA7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课程定位展示页面自定义背景图片，包括背景图片显示位置；支持设置课程定位布局，至少包含图文布局及是否包含底板边框支持设置课程的先修课程、后修课程及课程定位详细介绍；支持设置多个课程标签；</w:t>
      </w:r>
    </w:p>
    <w:p w14:paraId="19737AD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8.2.3教师团队</w:t>
      </w:r>
    </w:p>
    <w:p w14:paraId="394DD4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trike/>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）支持教师团队展示页面自定义背景图片，包括背景图片显示位置；支持添加课程教师团队成员，包括教师姓名、头像、院系、职称、介绍；</w:t>
      </w:r>
    </w:p>
    <w:p w14:paraId="418A9CA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8.</w:t>
      </w: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问题模型</w:t>
      </w:r>
    </w:p>
    <w:p w14:paraId="5B2038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）支持展示单个问题及对应答案，支持展示与其他问题的关联问题，支持展示问题关联的知识点及对应的学习内容；</w:t>
      </w:r>
    </w:p>
    <w:p w14:paraId="4A9086B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8.</w:t>
      </w: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 xml:space="preserve"> AI应用</w:t>
      </w:r>
    </w:p>
    <w:p w14:paraId="774FAD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展示AI课程应用中心，持设置多个应用使用场景，支持每个场景可以设置分组，支持移动调整分组顺序；支持设置AI应用展示页面布局，至少支持瀑布流及宫格展示形式；支持设置每个使用场景初始化时可以直接选择已有指令作为场景展示案例，同时支持自定义增加展示案例；支持场景案例添加案例标题、简短描述、设置案例分组，同时支持设置案例图标，系统至少内置54个图标；支持编辑案例内容，包括插入图片、表格、超链接、代码块、公式；</w:t>
      </w:r>
    </w:p>
    <w:p w14:paraId="193CC0C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8.</w:t>
      </w: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资源地图</w:t>
      </w:r>
    </w:p>
    <w:p w14:paraId="10884D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rPr>
        <w:t>支持展示资源地图，支持知识点旭日图展示包括资源总数，知识片段数量、视频数量、视频导引数量、视频时长、习题数量、覆盖知识点、知识点覆盖率；</w:t>
      </w:r>
    </w:p>
    <w:p w14:paraId="7F3CC6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支持展示热门知识点，至少展示10个热门知识点；支持资源地图按照热门分类、资源类型进行筛选；支持搜索知识片段；支持每一个知识片段展示知识点名称、资源类型、资源分类、片段详细内容，至少包含正文、图片、视频、公式、表格、代码；</w:t>
      </w:r>
    </w:p>
    <w:p w14:paraId="70BFE4D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8.</w:t>
      </w:r>
      <w:r>
        <w:rPr>
          <w:rFonts w:hint="eastAsia" w:ascii="宋体" w:hAnsi="宋体" w:eastAsia="宋体" w:cs="宋体"/>
          <w:b/>
          <w:bCs/>
          <w:color w:val="auto"/>
          <w:sz w:val="24"/>
          <w:lang w:val="en-US" w:eastAsia="zh-CN"/>
        </w:rPr>
        <w:t>6</w:t>
      </w:r>
      <w:r>
        <w:rPr>
          <w:rFonts w:hint="eastAsia" w:ascii="宋体" w:hAnsi="宋体" w:eastAsia="宋体" w:cs="宋体"/>
          <w:b/>
          <w:bCs/>
          <w:color w:val="auto"/>
          <w:sz w:val="24"/>
        </w:rPr>
        <w:t>智能助理</w:t>
      </w:r>
    </w:p>
    <w:p w14:paraId="73110653">
      <w:pPr>
        <w:pStyle w:val="2"/>
        <w:keepNext w:val="0"/>
        <w:keepLines w:val="0"/>
        <w:pageBreakBefore w:val="0"/>
        <w:widowControl w:val="0"/>
        <w:kinsoku/>
        <w:wordWrap/>
        <w:overflowPunct/>
        <w:topLinePunct w:val="0"/>
        <w:autoSpaceDE/>
        <w:autoSpaceDN/>
        <w:bidi w:val="0"/>
        <w:adjustRightInd/>
        <w:snapToGrid/>
        <w:spacing w:line="360" w:lineRule="auto"/>
        <w:ind w:left="0" w:leftChars="0" w:right="-92" w:rightChars="-44"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支持智能助理，可通过与智能助理对话了解课程建设的内容及课程答疑；支持编辑智能助理，包括修改智能助理名称、设置智能助理开场白，设置智能助理常见问题；支持智能助理设置问答，智能助理回答问题优先参考标准答案；</w:t>
      </w:r>
    </w:p>
    <w:p w14:paraId="1A0F7D5D">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AI课程建设实施服务要求</w:t>
      </w:r>
    </w:p>
    <w:p w14:paraId="0FE9D6E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4"/>
        </w:rPr>
      </w:pPr>
      <w:r>
        <w:rPr>
          <w:rFonts w:hint="eastAsia" w:ascii="宋体" w:hAnsi="宋体" w:eastAsia="宋体" w:cs="宋体"/>
          <w:color w:val="auto"/>
          <w:sz w:val="28"/>
          <w:szCs w:val="28"/>
        </w:rPr>
        <w:t>★</w:t>
      </w:r>
      <w:r>
        <w:rPr>
          <w:rFonts w:hint="eastAsia" w:ascii="宋体" w:hAnsi="宋体" w:eastAsia="宋体" w:cs="宋体"/>
          <w:color w:val="auto"/>
          <w:sz w:val="24"/>
        </w:rPr>
        <w:t>（1）需辅助教师明确AI课程建设目标，根据教师反馈，梳理建课思路，辅助教师课程素材收集整理，提供教师各种素材的具体格式及注意事项。教师可上传课程资料，根据教师提供的相关素材能建立课程知识库，基于课程知识库进行增强检索生成、垂直调优；</w:t>
      </w:r>
    </w:p>
    <w:p w14:paraId="6F468E40">
      <w:pPr>
        <w:pStyle w:val="2"/>
        <w:keepNext w:val="0"/>
        <w:keepLines w:val="0"/>
        <w:pageBreakBefore w:val="0"/>
        <w:widowControl w:val="0"/>
        <w:kinsoku/>
        <w:wordWrap/>
        <w:overflowPunct/>
        <w:topLinePunct w:val="0"/>
        <w:autoSpaceDE/>
        <w:autoSpaceDN/>
        <w:bidi w:val="0"/>
        <w:adjustRightInd/>
        <w:snapToGrid/>
        <w:spacing w:line="360" w:lineRule="auto"/>
        <w:ind w:left="0" w:leftChars="0" w:right="-92" w:rightChars="-44" w:firstLine="56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8"/>
          <w:szCs w:val="28"/>
        </w:rPr>
        <w:t>★</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）支持提供AI工作台，通过问答评测开展模型评估和调优。；记录老师教学过程中的问题，根据问题进一步完善增强模型；能输出AI课程学期使用报告</w:t>
      </w:r>
      <w:r>
        <w:rPr>
          <w:rFonts w:hint="eastAsia" w:ascii="宋体" w:hAnsi="宋体" w:eastAsia="宋体" w:cs="宋体"/>
          <w:color w:val="auto"/>
          <w:sz w:val="24"/>
          <w:lang w:eastAsia="zh-CN"/>
        </w:rPr>
        <w:t>；</w:t>
      </w:r>
    </w:p>
    <w:p w14:paraId="5786084A">
      <w:pPr>
        <w:pStyle w:val="2"/>
        <w:keepNext w:val="0"/>
        <w:keepLines w:val="0"/>
        <w:pageBreakBefore w:val="0"/>
        <w:widowControl w:val="0"/>
        <w:kinsoku/>
        <w:wordWrap/>
        <w:overflowPunct/>
        <w:topLinePunct w:val="0"/>
        <w:autoSpaceDE/>
        <w:autoSpaceDN/>
        <w:bidi w:val="0"/>
        <w:adjustRightInd/>
        <w:snapToGrid/>
        <w:spacing w:line="360" w:lineRule="auto"/>
        <w:ind w:left="0" w:leftChars="0" w:right="-92" w:rightChars="-44"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课程运行以及推广服务要求</w:t>
      </w:r>
    </w:p>
    <w:p w14:paraId="711FB257">
      <w:pPr>
        <w:pStyle w:val="2"/>
        <w:keepNext w:val="0"/>
        <w:keepLines w:val="0"/>
        <w:pageBreakBefore w:val="0"/>
        <w:widowControl w:val="0"/>
        <w:kinsoku/>
        <w:wordWrap/>
        <w:overflowPunct/>
        <w:topLinePunct w:val="0"/>
        <w:autoSpaceDE/>
        <w:autoSpaceDN/>
        <w:bidi w:val="0"/>
        <w:adjustRightInd/>
        <w:snapToGrid/>
        <w:spacing w:line="360" w:lineRule="auto"/>
        <w:ind w:left="0" w:leftChars="0" w:right="-92" w:rightChars="-44" w:firstLine="560" w:firstLineChars="200"/>
        <w:textAlignment w:val="auto"/>
        <w:rPr>
          <w:rFonts w:hint="eastAsia" w:ascii="宋体" w:hAnsi="宋体" w:eastAsia="宋体" w:cs="宋体"/>
          <w:color w:val="auto"/>
          <w:sz w:val="24"/>
        </w:rPr>
      </w:pPr>
      <w:r>
        <w:rPr>
          <w:rFonts w:hint="eastAsia" w:ascii="宋体" w:hAnsi="宋体" w:eastAsia="宋体" w:cs="宋体"/>
          <w:color w:val="auto"/>
          <w:sz w:val="28"/>
          <w:szCs w:val="28"/>
        </w:rPr>
        <w:t>★</w:t>
      </w: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协助课程教师完成课程推广等活动。供应商提供校内开展人工智能赋能教学改革以及线上线下混合式教学运行的专家指导服务；</w:t>
      </w:r>
    </w:p>
    <w:p w14:paraId="0D17EAB0">
      <w:pPr>
        <w:pStyle w:val="2"/>
        <w:keepNext w:val="0"/>
        <w:keepLines w:val="0"/>
        <w:pageBreakBefore w:val="0"/>
        <w:widowControl w:val="0"/>
        <w:kinsoku/>
        <w:wordWrap/>
        <w:overflowPunct/>
        <w:topLinePunct w:val="0"/>
        <w:autoSpaceDE/>
        <w:autoSpaceDN/>
        <w:bidi w:val="0"/>
        <w:adjustRightInd/>
        <w:snapToGrid/>
        <w:spacing w:line="360" w:lineRule="auto"/>
        <w:ind w:left="0" w:leftChars="0" w:right="-92" w:rightChars="-44"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(十一）AI课程数字人建设</w:t>
      </w:r>
    </w:p>
    <w:p w14:paraId="5B49BE22">
      <w:pPr>
        <w:pStyle w:val="2"/>
        <w:keepNext w:val="0"/>
        <w:keepLines w:val="0"/>
        <w:pageBreakBefore w:val="0"/>
        <w:widowControl w:val="0"/>
        <w:kinsoku/>
        <w:wordWrap/>
        <w:overflowPunct/>
        <w:topLinePunct w:val="0"/>
        <w:autoSpaceDE/>
        <w:autoSpaceDN/>
        <w:bidi w:val="0"/>
        <w:adjustRightInd/>
        <w:snapToGrid/>
        <w:spacing w:line="360" w:lineRule="auto"/>
        <w:ind w:left="0" w:leftChars="0" w:right="-92" w:rightChars="-44"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根</w:t>
      </w:r>
      <w:r>
        <w:rPr>
          <w:rFonts w:hint="eastAsia" w:ascii="宋体" w:hAnsi="宋体" w:eastAsia="宋体" w:cs="宋体"/>
          <w:color w:val="auto"/>
          <w:sz w:val="24"/>
        </w:rPr>
        <w:t>据教师形象进行定制化制作数字人；数字人形象需高逼真度，面部表情、动作自然流畅，无明显违和感；支持实时语音识别与语音合成，实现数字人语音交互功能；至少支持中文、英文两种语言切换。数字人能根据教师提供的课程大纲进行AI课程内容的设计与制作，课程内容建设包括但不限于课件、习题、互动环节等；数字人具备交互系统，实现数字人与用户之间的实时互动；</w:t>
      </w:r>
    </w:p>
    <w:p w14:paraId="2BBFFF3D">
      <w:pPr>
        <w:pStyle w:val="4"/>
        <w:ind w:right="-92" w:rightChars="-44" w:firstLine="482" w:firstLineChars="200"/>
        <w:outlineLvl w:val="1"/>
        <w:rPr>
          <w:rFonts w:hint="eastAsia" w:ascii="宋体" w:hAnsi="宋体" w:eastAsia="宋体" w:cs="宋体"/>
          <w:b/>
          <w:bCs/>
          <w:color w:val="auto"/>
          <w:sz w:val="24"/>
          <w:highlight w:val="red"/>
          <w:lang w:eastAsia="zh-CN"/>
        </w:rPr>
      </w:pPr>
      <w:r>
        <w:rPr>
          <w:rFonts w:hint="eastAsia" w:ascii="宋体" w:hAnsi="宋体" w:cs="宋体"/>
          <w:b/>
          <w:bCs/>
          <w:color w:val="auto"/>
          <w:sz w:val="24"/>
          <w:highlight w:val="none"/>
        </w:rPr>
        <w:t>四</w:t>
      </w:r>
      <w:r>
        <w:rPr>
          <w:rFonts w:hint="eastAsia" w:ascii="宋体" w:hAnsi="宋体" w:cs="宋体"/>
          <w:b/>
          <w:bCs/>
          <w:color w:val="auto"/>
          <w:sz w:val="24"/>
        </w:rPr>
        <w:t>、商务要求</w:t>
      </w:r>
      <w:r>
        <w:rPr>
          <w:rFonts w:hint="eastAsia" w:ascii="宋体" w:hAnsi="宋体" w:cs="宋体"/>
          <w:b/>
          <w:bCs/>
          <w:color w:val="auto"/>
          <w:sz w:val="24"/>
          <w:lang w:eastAsia="zh-CN"/>
        </w:rPr>
        <w:t>（</w:t>
      </w:r>
      <w:r>
        <w:rPr>
          <w:rFonts w:hint="eastAsia" w:ascii="宋体" w:hAnsi="宋体" w:cs="宋体"/>
          <w:b/>
          <w:bCs/>
          <w:color w:val="auto"/>
          <w:sz w:val="24"/>
          <w:highlight w:val="none"/>
        </w:rPr>
        <w:t>★</w:t>
      </w:r>
      <w:r>
        <w:rPr>
          <w:rFonts w:hint="eastAsia" w:ascii="宋体" w:hAnsi="宋体" w:cs="宋体"/>
          <w:b/>
          <w:bCs/>
          <w:color w:val="auto"/>
          <w:sz w:val="24"/>
          <w:lang w:val="en-US" w:eastAsia="zh-CN"/>
        </w:rPr>
        <w:t>实质性要求</w:t>
      </w:r>
      <w:r>
        <w:rPr>
          <w:rFonts w:hint="eastAsia" w:ascii="宋体" w:hAnsi="宋体" w:cs="宋体"/>
          <w:b/>
          <w:bCs/>
          <w:color w:val="auto"/>
          <w:sz w:val="24"/>
          <w:lang w:eastAsia="zh-CN"/>
        </w:rPr>
        <w:t>）</w:t>
      </w:r>
    </w:p>
    <w:tbl>
      <w:tblPr>
        <w:tblStyle w:val="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991"/>
        <w:gridCol w:w="983"/>
        <w:gridCol w:w="6428"/>
      </w:tblGrid>
      <w:tr w14:paraId="512C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3" w:type="dxa"/>
            <w:noWrap w:val="0"/>
            <w:vAlign w:val="center"/>
          </w:tcPr>
          <w:p w14:paraId="3C9D3FD3">
            <w:pPr>
              <w:widowControl/>
              <w:spacing w:line="360" w:lineRule="exact"/>
              <w:jc w:val="center"/>
              <w:rPr>
                <w:rFonts w:ascii="黑体" w:hAnsi="黑体" w:eastAsia="黑体" w:cs="黑体"/>
                <w:color w:val="auto"/>
                <w:sz w:val="24"/>
                <w:szCs w:val="24"/>
              </w:rPr>
            </w:pPr>
            <w:r>
              <w:rPr>
                <w:rFonts w:hint="eastAsia" w:ascii="黑体" w:hAnsi="黑体" w:eastAsia="黑体" w:cs="黑体"/>
                <w:color w:val="auto"/>
                <w:sz w:val="24"/>
                <w:szCs w:val="24"/>
              </w:rPr>
              <w:t>序号</w:t>
            </w:r>
          </w:p>
        </w:tc>
        <w:tc>
          <w:tcPr>
            <w:tcW w:w="1991" w:type="dxa"/>
            <w:noWrap w:val="0"/>
            <w:vAlign w:val="center"/>
          </w:tcPr>
          <w:p w14:paraId="5D62873E">
            <w:pPr>
              <w:widowControl/>
              <w:spacing w:line="360" w:lineRule="exact"/>
              <w:jc w:val="center"/>
              <w:rPr>
                <w:rFonts w:ascii="黑体" w:hAnsi="黑体" w:eastAsia="黑体" w:cs="黑体"/>
                <w:color w:val="auto"/>
                <w:sz w:val="24"/>
                <w:szCs w:val="24"/>
              </w:rPr>
            </w:pPr>
            <w:r>
              <w:rPr>
                <w:rFonts w:hint="eastAsia" w:ascii="黑体" w:hAnsi="黑体" w:eastAsia="黑体" w:cs="黑体"/>
                <w:color w:val="auto"/>
                <w:sz w:val="24"/>
                <w:szCs w:val="24"/>
              </w:rPr>
              <w:t>内容</w:t>
            </w:r>
          </w:p>
        </w:tc>
        <w:tc>
          <w:tcPr>
            <w:tcW w:w="7411" w:type="dxa"/>
            <w:gridSpan w:val="2"/>
            <w:noWrap w:val="0"/>
            <w:vAlign w:val="center"/>
          </w:tcPr>
          <w:p w14:paraId="41C6E1CE">
            <w:pPr>
              <w:widowControl/>
              <w:spacing w:line="360" w:lineRule="exact"/>
              <w:jc w:val="center"/>
              <w:rPr>
                <w:rFonts w:ascii="黑体" w:hAnsi="黑体" w:eastAsia="黑体" w:cs="黑体"/>
                <w:color w:val="auto"/>
                <w:sz w:val="24"/>
                <w:szCs w:val="24"/>
              </w:rPr>
            </w:pPr>
            <w:r>
              <w:rPr>
                <w:rFonts w:hint="eastAsia" w:ascii="黑体" w:hAnsi="黑体" w:eastAsia="黑体" w:cs="黑体"/>
                <w:color w:val="auto"/>
                <w:sz w:val="24"/>
                <w:szCs w:val="24"/>
              </w:rPr>
              <w:t>具体要求</w:t>
            </w:r>
          </w:p>
        </w:tc>
      </w:tr>
      <w:tr w14:paraId="0D98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noWrap w:val="0"/>
            <w:vAlign w:val="center"/>
          </w:tcPr>
          <w:p w14:paraId="506DC297">
            <w:pPr>
              <w:adjustRightInd w:val="0"/>
              <w:spacing w:line="320" w:lineRule="exact"/>
              <w:jc w:val="center"/>
              <w:rPr>
                <w:rFonts w:ascii="黑体" w:hAnsi="黑体" w:eastAsia="黑体" w:cs="黑体"/>
                <w:color w:val="auto"/>
                <w:kern w:val="0"/>
                <w:sz w:val="24"/>
                <w:szCs w:val="24"/>
                <w:lang w:val="zh-CN"/>
              </w:rPr>
            </w:pPr>
            <w:r>
              <w:rPr>
                <w:rFonts w:hint="eastAsia" w:ascii="黑体" w:hAnsi="黑体" w:eastAsia="黑体" w:cs="黑体"/>
                <w:color w:val="auto"/>
                <w:kern w:val="0"/>
                <w:sz w:val="24"/>
                <w:szCs w:val="24"/>
                <w:lang w:val="zh-CN"/>
              </w:rPr>
              <w:t>1</w:t>
            </w:r>
          </w:p>
        </w:tc>
        <w:tc>
          <w:tcPr>
            <w:tcW w:w="1991" w:type="dxa"/>
            <w:noWrap w:val="0"/>
            <w:vAlign w:val="center"/>
          </w:tcPr>
          <w:p w14:paraId="53201644">
            <w:pPr>
              <w:adjustRightInd w:val="0"/>
              <w:spacing w:line="500" w:lineRule="exact"/>
              <w:jc w:val="center"/>
              <w:rPr>
                <w:rFonts w:ascii="黑体" w:hAnsi="黑体" w:eastAsia="黑体" w:cs="黑体"/>
                <w:color w:val="auto"/>
                <w:kern w:val="0"/>
                <w:sz w:val="24"/>
                <w:szCs w:val="24"/>
                <w:lang w:val="zh-CN"/>
              </w:rPr>
            </w:pPr>
            <w:r>
              <w:rPr>
                <w:rFonts w:hint="eastAsia" w:ascii="黑体" w:hAnsi="黑体" w:eastAsia="黑体" w:cs="黑体"/>
                <w:color w:val="auto"/>
                <w:kern w:val="0"/>
                <w:sz w:val="24"/>
                <w:szCs w:val="24"/>
              </w:rPr>
              <w:t>服务期限</w:t>
            </w:r>
            <w:r>
              <w:rPr>
                <w:rFonts w:hint="eastAsia" w:ascii="黑体" w:hAnsi="黑体" w:eastAsia="黑体" w:cs="黑体"/>
                <w:color w:val="auto"/>
                <w:kern w:val="0"/>
                <w:sz w:val="24"/>
                <w:szCs w:val="24"/>
                <w:lang w:val="zh-CN"/>
              </w:rPr>
              <w:t>（</w:t>
            </w:r>
            <w:r>
              <w:rPr>
                <w:rFonts w:hint="eastAsia" w:ascii="黑体" w:hAnsi="黑体" w:eastAsia="黑体" w:cs="黑体"/>
                <w:color w:val="auto"/>
                <w:kern w:val="0"/>
                <w:sz w:val="24"/>
                <w:szCs w:val="24"/>
              </w:rPr>
              <w:t>合同履约期限</w:t>
            </w:r>
            <w:r>
              <w:rPr>
                <w:rFonts w:hint="eastAsia" w:ascii="黑体" w:hAnsi="黑体" w:eastAsia="黑体" w:cs="黑体"/>
                <w:color w:val="auto"/>
                <w:kern w:val="0"/>
                <w:sz w:val="24"/>
                <w:szCs w:val="24"/>
                <w:lang w:val="zh-CN"/>
              </w:rPr>
              <w:t>）</w:t>
            </w:r>
          </w:p>
        </w:tc>
        <w:tc>
          <w:tcPr>
            <w:tcW w:w="7411" w:type="dxa"/>
            <w:gridSpan w:val="2"/>
            <w:noWrap w:val="0"/>
            <w:vAlign w:val="center"/>
          </w:tcPr>
          <w:p w14:paraId="2D2379BD">
            <w:pPr>
              <w:adjustRightInd w:val="0"/>
              <w:spacing w:line="500" w:lineRule="exact"/>
              <w:rPr>
                <w:rFonts w:ascii="黑体" w:hAnsi="黑体" w:eastAsia="黑体" w:cs="黑体"/>
                <w:color w:val="auto"/>
                <w:sz w:val="24"/>
                <w:szCs w:val="24"/>
                <w:highlight w:val="none"/>
              </w:rPr>
            </w:pPr>
            <w:r>
              <w:rPr>
                <w:rFonts w:hint="eastAsia" w:ascii="宋体" w:hAnsi="宋体" w:cs="宋体"/>
                <w:color w:val="auto"/>
                <w:sz w:val="24"/>
                <w:szCs w:val="24"/>
                <w:highlight w:val="none"/>
              </w:rPr>
              <w:t>自合同签订之日起</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365</w:t>
            </w:r>
            <w:r>
              <w:rPr>
                <w:rFonts w:hint="eastAsia" w:ascii="宋体" w:hAnsi="宋体" w:cs="宋体"/>
                <w:bCs/>
                <w:color w:val="auto"/>
                <w:sz w:val="24"/>
                <w:szCs w:val="24"/>
                <w:highlight w:val="none"/>
              </w:rPr>
              <w:t>个日历日内，成交供应商应按照采购合同和技术服务协议的约定完成所有服务。</w:t>
            </w:r>
          </w:p>
        </w:tc>
      </w:tr>
      <w:tr w14:paraId="5431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3" w:type="dxa"/>
            <w:noWrap w:val="0"/>
            <w:vAlign w:val="center"/>
          </w:tcPr>
          <w:p w14:paraId="3C5E99E9">
            <w:pPr>
              <w:adjustRightInd w:val="0"/>
              <w:spacing w:line="320" w:lineRule="exact"/>
              <w:jc w:val="center"/>
              <w:rPr>
                <w:rFonts w:ascii="黑体" w:hAnsi="黑体" w:eastAsia="黑体" w:cs="黑体"/>
                <w:color w:val="auto"/>
                <w:kern w:val="0"/>
                <w:sz w:val="24"/>
                <w:szCs w:val="24"/>
                <w:lang w:val="zh-CN"/>
              </w:rPr>
            </w:pPr>
            <w:r>
              <w:rPr>
                <w:rFonts w:hint="eastAsia" w:ascii="黑体" w:hAnsi="黑体" w:eastAsia="黑体" w:cs="黑体"/>
                <w:color w:val="auto"/>
                <w:kern w:val="0"/>
                <w:sz w:val="24"/>
                <w:szCs w:val="24"/>
                <w:lang w:val="zh-CN"/>
              </w:rPr>
              <w:t>2</w:t>
            </w:r>
          </w:p>
        </w:tc>
        <w:tc>
          <w:tcPr>
            <w:tcW w:w="1991" w:type="dxa"/>
            <w:noWrap w:val="0"/>
            <w:vAlign w:val="center"/>
          </w:tcPr>
          <w:p w14:paraId="2B8E019A">
            <w:pPr>
              <w:adjustRightInd w:val="0"/>
              <w:spacing w:line="320" w:lineRule="exact"/>
              <w:jc w:val="center"/>
              <w:rPr>
                <w:rFonts w:ascii="黑体" w:hAnsi="黑体" w:eastAsia="黑体" w:cs="黑体"/>
                <w:color w:val="auto"/>
                <w:kern w:val="0"/>
                <w:sz w:val="24"/>
                <w:szCs w:val="24"/>
                <w:lang w:val="zh-CN"/>
              </w:rPr>
            </w:pPr>
            <w:r>
              <w:rPr>
                <w:rFonts w:hint="eastAsia" w:ascii="黑体" w:hAnsi="黑体" w:eastAsia="黑体" w:cs="黑体"/>
                <w:color w:val="auto"/>
                <w:kern w:val="0"/>
                <w:sz w:val="24"/>
                <w:szCs w:val="24"/>
              </w:rPr>
              <w:t>服务</w:t>
            </w:r>
            <w:r>
              <w:rPr>
                <w:rFonts w:hint="eastAsia" w:ascii="黑体" w:hAnsi="黑体" w:eastAsia="黑体" w:cs="黑体"/>
                <w:color w:val="auto"/>
                <w:kern w:val="0"/>
                <w:sz w:val="24"/>
                <w:szCs w:val="24"/>
                <w:lang w:val="zh-CN"/>
              </w:rPr>
              <w:t>地点</w:t>
            </w:r>
          </w:p>
        </w:tc>
        <w:tc>
          <w:tcPr>
            <w:tcW w:w="7411" w:type="dxa"/>
            <w:gridSpan w:val="2"/>
            <w:noWrap w:val="0"/>
            <w:vAlign w:val="center"/>
          </w:tcPr>
          <w:p w14:paraId="6ECDA95D">
            <w:pPr>
              <w:spacing w:line="360" w:lineRule="auto"/>
              <w:rPr>
                <w:rFonts w:ascii="宋体" w:hAnsi="宋体" w:eastAsia="宋体" w:cs="Times New Roman"/>
                <w:bCs/>
                <w:color w:val="auto"/>
                <w:spacing w:val="8"/>
                <w:sz w:val="24"/>
                <w:szCs w:val="24"/>
              </w:rPr>
            </w:pPr>
            <w:r>
              <w:rPr>
                <w:rFonts w:hint="eastAsia" w:ascii="宋体" w:hAnsi="宋体" w:cs="宋体"/>
                <w:color w:val="auto"/>
                <w:sz w:val="24"/>
                <w:szCs w:val="24"/>
              </w:rPr>
              <w:t>采购人指定位置</w:t>
            </w:r>
          </w:p>
        </w:tc>
      </w:tr>
      <w:tr w14:paraId="421F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noWrap w:val="0"/>
            <w:vAlign w:val="center"/>
          </w:tcPr>
          <w:p w14:paraId="44964166">
            <w:pPr>
              <w:adjustRightInd w:val="0"/>
              <w:spacing w:line="320" w:lineRule="exact"/>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3</w:t>
            </w:r>
          </w:p>
        </w:tc>
        <w:tc>
          <w:tcPr>
            <w:tcW w:w="1991" w:type="dxa"/>
            <w:noWrap w:val="0"/>
            <w:vAlign w:val="center"/>
          </w:tcPr>
          <w:p w14:paraId="63D2EDCC">
            <w:pPr>
              <w:adjustRightInd w:val="0"/>
              <w:spacing w:line="360" w:lineRule="auto"/>
              <w:jc w:val="center"/>
              <w:rPr>
                <w:rFonts w:ascii="黑体" w:hAnsi="黑体" w:eastAsia="黑体" w:cs="黑体"/>
                <w:color w:val="auto"/>
                <w:kern w:val="0"/>
                <w:sz w:val="24"/>
                <w:szCs w:val="24"/>
                <w:lang w:val="zh-CN"/>
              </w:rPr>
            </w:pPr>
            <w:r>
              <w:rPr>
                <w:rFonts w:hint="eastAsia" w:ascii="黑体" w:hAnsi="黑体" w:eastAsia="黑体" w:cs="黑体"/>
                <w:color w:val="auto"/>
                <w:kern w:val="0"/>
                <w:sz w:val="24"/>
                <w:szCs w:val="24"/>
                <w:lang w:val="zh-CN"/>
              </w:rPr>
              <w:t>履约保证金</w:t>
            </w:r>
          </w:p>
        </w:tc>
        <w:tc>
          <w:tcPr>
            <w:tcW w:w="7411" w:type="dxa"/>
            <w:gridSpan w:val="2"/>
            <w:noWrap w:val="0"/>
            <w:vAlign w:val="center"/>
          </w:tcPr>
          <w:p w14:paraId="0C264CC8">
            <w:pPr>
              <w:pStyle w:val="4"/>
              <w:spacing w:after="0"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第一，缴纳比例：</w:t>
            </w:r>
            <w:r>
              <w:rPr>
                <w:rFonts w:ascii="Times New Roman" w:hAnsi="Times New Roman" w:cs="Times New Roman"/>
                <w:bCs/>
                <w:color w:val="auto"/>
                <w:sz w:val="24"/>
                <w:szCs w:val="24"/>
                <w:highlight w:val="none"/>
              </w:rPr>
              <w:t>5</w:t>
            </w:r>
            <w:r>
              <w:rPr>
                <w:rFonts w:hint="eastAsia" w:ascii="Times New Roman" w:hAnsi="Times New Roman" w:cs="Times New Roman"/>
                <w:bCs/>
                <w:color w:val="auto"/>
                <w:sz w:val="24"/>
                <w:szCs w:val="24"/>
                <w:highlight w:val="none"/>
              </w:rPr>
              <w:t>%</w:t>
            </w:r>
            <w:r>
              <w:rPr>
                <w:rFonts w:hint="eastAsia" w:ascii="宋体" w:hAnsi="宋体" w:cs="宋体"/>
                <w:bCs/>
                <w:color w:val="auto"/>
                <w:sz w:val="24"/>
                <w:szCs w:val="24"/>
                <w:highlight w:val="none"/>
              </w:rPr>
              <w:t>。</w:t>
            </w:r>
          </w:p>
          <w:p w14:paraId="0BA373E7">
            <w:pPr>
              <w:pStyle w:val="4"/>
              <w:spacing w:after="0"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第二，缴纳方式：网银转账、支票、汇票、本票、金融机构或担保机构出具的保函等非现金方式缴纳至采购人。</w:t>
            </w:r>
          </w:p>
          <w:p w14:paraId="21002B8B">
            <w:pPr>
              <w:pStyle w:val="4"/>
              <w:spacing w:after="0"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第三，缴纳说明：</w:t>
            </w:r>
          </w:p>
          <w:p w14:paraId="5BBA213D">
            <w:pPr>
              <w:pStyle w:val="4"/>
              <w:spacing w:after="0" w:line="360" w:lineRule="auto"/>
              <w:rPr>
                <w:rFonts w:ascii="Times New Roman" w:hAnsi="Times New Roman" w:cs="Times New Roman"/>
                <w:bCs/>
                <w:color w:val="auto"/>
                <w:sz w:val="24"/>
                <w:szCs w:val="24"/>
                <w:highlight w:val="none"/>
              </w:rPr>
            </w:pPr>
            <w:r>
              <w:rPr>
                <w:rFonts w:hint="eastAsia" w:ascii="宋体" w:hAnsi="宋体" w:cs="宋体"/>
                <w:bCs/>
                <w:color w:val="auto"/>
                <w:sz w:val="24"/>
                <w:szCs w:val="24"/>
                <w:highlight w:val="none"/>
              </w:rPr>
              <w:t>（1）缴纳金额为合同金额（成交金额）的</w:t>
            </w:r>
            <w:r>
              <w:rPr>
                <w:rFonts w:ascii="Times New Roman" w:hAnsi="Times New Roman" w:cs="Times New Roman"/>
                <w:bCs/>
                <w:color w:val="auto"/>
                <w:sz w:val="24"/>
                <w:szCs w:val="24"/>
                <w:highlight w:val="none"/>
              </w:rPr>
              <w:t>5</w:t>
            </w:r>
            <w:r>
              <w:rPr>
                <w:rFonts w:hint="eastAsia" w:ascii="Times New Roman" w:hAnsi="Times New Roman" w:cs="Times New Roman"/>
                <w:bCs/>
                <w:color w:val="auto"/>
                <w:sz w:val="24"/>
                <w:szCs w:val="24"/>
                <w:highlight w:val="none"/>
              </w:rPr>
              <w:t>%。</w:t>
            </w:r>
          </w:p>
          <w:p w14:paraId="52AEF9A7">
            <w:pPr>
              <w:pStyle w:val="4"/>
              <w:spacing w:after="0"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lang w:val="zh-CN"/>
              </w:rPr>
              <w:t>（2）</w:t>
            </w:r>
            <w:r>
              <w:rPr>
                <w:rFonts w:hint="eastAsia" w:ascii="宋体" w:hAnsi="宋体" w:cs="宋体"/>
                <w:bCs/>
                <w:color w:val="auto"/>
                <w:sz w:val="24"/>
                <w:szCs w:val="24"/>
                <w:highlight w:val="none"/>
              </w:rPr>
              <w:t>供应商选择保函方式缴纳的，保函须由成交供应商向采购人提供正本原件。</w:t>
            </w:r>
          </w:p>
          <w:p w14:paraId="6E0571B0">
            <w:pPr>
              <w:pStyle w:val="4"/>
              <w:spacing w:after="0"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（3）收款单位：西南科技大学；开户银行：中国农业银行</w:t>
            </w:r>
            <w:r>
              <w:rPr>
                <w:rFonts w:hint="eastAsia" w:ascii="宋体" w:hAnsi="宋体" w:cs="宋体"/>
                <w:bCs/>
                <w:color w:val="auto"/>
                <w:sz w:val="24"/>
                <w:szCs w:val="24"/>
                <w:highlight w:val="none"/>
                <w:lang w:val="zh-CN"/>
              </w:rPr>
              <w:t>绵阳西南科技大学支行；</w:t>
            </w:r>
            <w:r>
              <w:rPr>
                <w:rFonts w:hint="eastAsia" w:ascii="宋体" w:hAnsi="宋体" w:cs="宋体"/>
                <w:bCs/>
                <w:color w:val="auto"/>
                <w:sz w:val="24"/>
                <w:szCs w:val="24"/>
                <w:highlight w:val="none"/>
              </w:rPr>
              <w:t>账号：22-240901040000456。</w:t>
            </w:r>
          </w:p>
          <w:p w14:paraId="483E712E">
            <w:pPr>
              <w:pStyle w:val="4"/>
              <w:spacing w:after="0"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（4）交款时间：成交（中标）通知书发放后，采购合同签订前。</w:t>
            </w:r>
          </w:p>
          <w:p w14:paraId="20480F2F">
            <w:pPr>
              <w:pStyle w:val="4"/>
              <w:spacing w:after="0"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5）退款时间和方式：自项目履约验收合格后，由成交供应商向采购人提出申请，采购人根据成交供应商实际履约情况（无息）退还，其中，合同签订前出具保函的，成交供应商可向采购人申请收回保函正本原件。</w:t>
            </w:r>
          </w:p>
          <w:p w14:paraId="708003FD">
            <w:pPr>
              <w:pStyle w:val="4"/>
              <w:spacing w:after="0"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rPr>
              <w:t>（6）履约保证金不予退还情形：包括履约验收结果不合格，或成交供应商未按合同履约，或成交供应商存在其他违反国家相关法律法规的情形。</w:t>
            </w:r>
            <w:r>
              <w:rPr>
                <w:rFonts w:hint="eastAsia" w:ascii="宋体" w:hAnsi="宋体" w:cs="宋体"/>
                <w:bCs/>
                <w:color w:val="auto"/>
                <w:sz w:val="24"/>
                <w:szCs w:val="24"/>
                <w:highlight w:val="none"/>
                <w:lang w:val="zh-CN"/>
              </w:rPr>
              <w:t>履约保证金不予退还的，</w:t>
            </w:r>
            <w:r>
              <w:rPr>
                <w:rFonts w:hint="eastAsia" w:ascii="宋体" w:hAnsi="宋体" w:cs="宋体"/>
                <w:bCs/>
                <w:color w:val="auto"/>
                <w:sz w:val="24"/>
                <w:szCs w:val="24"/>
                <w:highlight w:val="none"/>
              </w:rPr>
              <w:t>采购人</w:t>
            </w:r>
            <w:r>
              <w:rPr>
                <w:rFonts w:hint="eastAsia" w:ascii="宋体" w:hAnsi="宋体" w:cs="宋体"/>
                <w:bCs/>
                <w:color w:val="auto"/>
                <w:sz w:val="24"/>
                <w:szCs w:val="24"/>
                <w:highlight w:val="none"/>
                <w:lang w:val="zh-CN"/>
              </w:rPr>
              <w:t>将</w:t>
            </w:r>
            <w:r>
              <w:rPr>
                <w:rFonts w:hint="eastAsia" w:ascii="宋体" w:hAnsi="宋体" w:cs="宋体"/>
                <w:bCs/>
                <w:color w:val="auto"/>
                <w:sz w:val="24"/>
                <w:szCs w:val="24"/>
                <w:highlight w:val="none"/>
              </w:rPr>
              <w:t>全额</w:t>
            </w:r>
            <w:r>
              <w:rPr>
                <w:rFonts w:hint="eastAsia" w:ascii="宋体" w:hAnsi="宋体" w:cs="宋体"/>
                <w:bCs/>
                <w:color w:val="auto"/>
                <w:sz w:val="24"/>
                <w:szCs w:val="24"/>
                <w:highlight w:val="none"/>
                <w:lang w:val="zh-CN"/>
              </w:rPr>
              <w:t>上缴学校</w:t>
            </w:r>
            <w:r>
              <w:rPr>
                <w:rFonts w:hint="eastAsia" w:ascii="宋体" w:hAnsi="宋体" w:cs="宋体"/>
                <w:bCs/>
                <w:color w:val="auto"/>
                <w:sz w:val="24"/>
                <w:szCs w:val="24"/>
                <w:highlight w:val="none"/>
              </w:rPr>
              <w:t>计划财务处</w:t>
            </w:r>
            <w:r>
              <w:rPr>
                <w:rFonts w:hint="eastAsia" w:ascii="宋体" w:hAnsi="宋体" w:cs="宋体"/>
                <w:bCs/>
                <w:color w:val="auto"/>
                <w:sz w:val="24"/>
                <w:szCs w:val="24"/>
                <w:highlight w:val="none"/>
                <w:lang w:val="zh-CN"/>
              </w:rPr>
              <w:t>。</w:t>
            </w:r>
          </w:p>
          <w:p w14:paraId="1282F07B">
            <w:pPr>
              <w:pStyle w:val="4"/>
              <w:spacing w:after="0" w:line="360" w:lineRule="auto"/>
              <w:rPr>
                <w:color w:val="auto"/>
                <w:sz w:val="24"/>
                <w:szCs w:val="24"/>
                <w:highlight w:val="none"/>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7</w:t>
            </w:r>
            <w:r>
              <w:rPr>
                <w:rFonts w:hint="eastAsia" w:ascii="宋体" w:hAnsi="宋体" w:cs="宋体"/>
                <w:bCs/>
                <w:color w:val="auto"/>
                <w:sz w:val="24"/>
                <w:szCs w:val="24"/>
                <w:highlight w:val="none"/>
                <w:lang w:val="zh-CN"/>
              </w:rPr>
              <w:t>）提供保函的担保机构必须是依法成立的具有相关资质和偿付能力的担保机构，</w:t>
            </w:r>
            <w:r>
              <w:rPr>
                <w:rFonts w:hint="eastAsia" w:ascii="宋体" w:hAnsi="宋体" w:cs="宋体"/>
                <w:bCs/>
                <w:color w:val="auto"/>
                <w:sz w:val="24"/>
                <w:szCs w:val="24"/>
                <w:highlight w:val="none"/>
              </w:rPr>
              <w:t>保函须真实、有效、可供采购人查询追溯</w:t>
            </w:r>
            <w:r>
              <w:rPr>
                <w:rFonts w:hint="eastAsia" w:ascii="宋体" w:hAnsi="宋体" w:cs="宋体"/>
                <w:bCs/>
                <w:color w:val="auto"/>
                <w:sz w:val="24"/>
                <w:szCs w:val="24"/>
                <w:highlight w:val="none"/>
                <w:lang w:val="zh-CN"/>
              </w:rPr>
              <w:t>，否则视为</w:t>
            </w:r>
            <w:r>
              <w:rPr>
                <w:rFonts w:hint="eastAsia" w:ascii="宋体" w:hAnsi="宋体" w:cs="宋体"/>
                <w:bCs/>
                <w:color w:val="auto"/>
                <w:sz w:val="24"/>
                <w:szCs w:val="24"/>
                <w:highlight w:val="none"/>
              </w:rPr>
              <w:t>成交供应商</w:t>
            </w:r>
            <w:r>
              <w:rPr>
                <w:rFonts w:hint="eastAsia" w:ascii="宋体" w:hAnsi="宋体" w:cs="宋体"/>
                <w:bCs/>
                <w:color w:val="auto"/>
                <w:sz w:val="24"/>
                <w:szCs w:val="24"/>
                <w:highlight w:val="none"/>
                <w:lang w:val="zh-CN"/>
              </w:rPr>
              <w:t>未有效缴纳履约保证金。若逾期未有效</w:t>
            </w:r>
            <w:r>
              <w:rPr>
                <w:rFonts w:hint="eastAsia" w:ascii="宋体" w:hAnsi="宋体" w:cs="宋体"/>
                <w:bCs/>
                <w:color w:val="auto"/>
                <w:sz w:val="24"/>
                <w:szCs w:val="24"/>
                <w:highlight w:val="none"/>
              </w:rPr>
              <w:t>或未足额</w:t>
            </w:r>
            <w:r>
              <w:rPr>
                <w:rFonts w:hint="eastAsia" w:ascii="宋体" w:hAnsi="宋体" w:cs="宋体"/>
                <w:bCs/>
                <w:color w:val="auto"/>
                <w:sz w:val="24"/>
                <w:szCs w:val="24"/>
                <w:highlight w:val="none"/>
                <w:lang w:val="zh-CN"/>
              </w:rPr>
              <w:t>缴纳</w:t>
            </w:r>
            <w:r>
              <w:rPr>
                <w:rFonts w:hint="eastAsia" w:ascii="宋体" w:hAnsi="宋体" w:cs="宋体"/>
                <w:bCs/>
                <w:color w:val="auto"/>
                <w:sz w:val="24"/>
                <w:szCs w:val="24"/>
                <w:highlight w:val="none"/>
              </w:rPr>
              <w:t>履约保证金</w:t>
            </w:r>
            <w:r>
              <w:rPr>
                <w:rFonts w:hint="eastAsia" w:ascii="宋体" w:hAnsi="宋体" w:cs="宋体"/>
                <w:bCs/>
                <w:color w:val="auto"/>
                <w:sz w:val="24"/>
                <w:szCs w:val="24"/>
                <w:highlight w:val="none"/>
                <w:lang w:val="zh-CN"/>
              </w:rPr>
              <w:t>的，将视</w:t>
            </w:r>
            <w:r>
              <w:rPr>
                <w:rFonts w:hint="eastAsia" w:ascii="宋体" w:hAnsi="宋体" w:cs="宋体"/>
                <w:bCs/>
                <w:color w:val="auto"/>
                <w:sz w:val="24"/>
                <w:szCs w:val="24"/>
                <w:highlight w:val="none"/>
              </w:rPr>
              <w:t>成交供应商</w:t>
            </w:r>
            <w:r>
              <w:rPr>
                <w:rFonts w:hint="eastAsia" w:ascii="宋体" w:hAnsi="宋体" w:cs="宋体"/>
                <w:bCs/>
                <w:color w:val="auto"/>
                <w:sz w:val="24"/>
                <w:szCs w:val="24"/>
                <w:highlight w:val="none"/>
                <w:lang w:val="zh-CN"/>
              </w:rPr>
              <w:t>无故放弃</w:t>
            </w:r>
            <w:r>
              <w:rPr>
                <w:rFonts w:hint="eastAsia" w:ascii="宋体" w:hAnsi="宋体" w:cs="宋体"/>
                <w:bCs/>
                <w:color w:val="auto"/>
                <w:sz w:val="24"/>
                <w:szCs w:val="24"/>
                <w:highlight w:val="none"/>
              </w:rPr>
              <w:t>成交（</w:t>
            </w:r>
            <w:r>
              <w:rPr>
                <w:rFonts w:hint="eastAsia" w:ascii="宋体" w:hAnsi="宋体" w:cs="宋体"/>
                <w:bCs/>
                <w:color w:val="auto"/>
                <w:sz w:val="24"/>
                <w:szCs w:val="24"/>
                <w:highlight w:val="none"/>
                <w:lang w:val="zh-CN"/>
              </w:rPr>
              <w:t>中标</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资格，采购人有权对无故放弃</w:t>
            </w:r>
            <w:r>
              <w:rPr>
                <w:rFonts w:hint="eastAsia" w:ascii="宋体" w:hAnsi="宋体" w:cs="宋体"/>
                <w:bCs/>
                <w:color w:val="auto"/>
                <w:sz w:val="24"/>
                <w:szCs w:val="24"/>
                <w:highlight w:val="none"/>
              </w:rPr>
              <w:t>成交（</w:t>
            </w:r>
            <w:r>
              <w:rPr>
                <w:rFonts w:hint="eastAsia" w:ascii="宋体" w:hAnsi="宋体" w:cs="宋体"/>
                <w:bCs/>
                <w:color w:val="auto"/>
                <w:sz w:val="24"/>
                <w:szCs w:val="24"/>
                <w:highlight w:val="none"/>
                <w:lang w:val="zh-CN"/>
              </w:rPr>
              <w:t>中标</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资格的供应商以失信行为记入</w:t>
            </w:r>
            <w:r>
              <w:rPr>
                <w:rFonts w:hint="eastAsia" w:ascii="宋体" w:hAnsi="宋体" w:cs="宋体"/>
                <w:bCs/>
                <w:color w:val="auto"/>
                <w:sz w:val="24"/>
                <w:szCs w:val="24"/>
                <w:highlight w:val="none"/>
              </w:rPr>
              <w:t>单位</w:t>
            </w:r>
            <w:r>
              <w:rPr>
                <w:rFonts w:hint="eastAsia" w:ascii="宋体" w:hAnsi="宋体" w:cs="宋体"/>
                <w:bCs/>
                <w:color w:val="auto"/>
                <w:sz w:val="24"/>
                <w:szCs w:val="24"/>
                <w:highlight w:val="none"/>
                <w:lang w:val="zh-CN"/>
              </w:rPr>
              <w:t>采购诚信档案，并</w:t>
            </w:r>
            <w:r>
              <w:rPr>
                <w:rFonts w:hint="eastAsia" w:ascii="宋体" w:hAnsi="宋体" w:cs="宋体"/>
                <w:bCs/>
                <w:color w:val="auto"/>
                <w:sz w:val="24"/>
                <w:szCs w:val="24"/>
                <w:highlight w:val="none"/>
              </w:rPr>
              <w:t>有权</w:t>
            </w:r>
            <w:r>
              <w:rPr>
                <w:rFonts w:hint="eastAsia" w:ascii="宋体" w:hAnsi="宋体" w:cs="宋体"/>
                <w:bCs/>
                <w:color w:val="auto"/>
                <w:sz w:val="24"/>
                <w:szCs w:val="24"/>
                <w:highlight w:val="none"/>
                <w:lang w:val="zh-CN"/>
              </w:rPr>
              <w:t>追究其相关责任，</w:t>
            </w:r>
            <w:r>
              <w:rPr>
                <w:rFonts w:hint="eastAsia" w:ascii="宋体" w:hAnsi="宋体" w:cs="宋体"/>
                <w:bCs/>
                <w:color w:val="auto"/>
                <w:sz w:val="24"/>
                <w:szCs w:val="24"/>
                <w:highlight w:val="none"/>
              </w:rPr>
              <w:t>保留</w:t>
            </w:r>
            <w:r>
              <w:rPr>
                <w:rFonts w:hint="eastAsia" w:ascii="宋体" w:hAnsi="宋体" w:cs="宋体"/>
                <w:bCs/>
                <w:color w:val="auto"/>
                <w:sz w:val="24"/>
                <w:szCs w:val="24"/>
                <w:highlight w:val="none"/>
                <w:lang w:val="zh-CN"/>
              </w:rPr>
              <w:t>向</w:t>
            </w:r>
            <w:r>
              <w:rPr>
                <w:rFonts w:hint="eastAsia" w:ascii="宋体" w:hAnsi="宋体" w:cs="宋体"/>
                <w:bCs/>
                <w:color w:val="auto"/>
                <w:sz w:val="24"/>
                <w:szCs w:val="24"/>
                <w:highlight w:val="none"/>
              </w:rPr>
              <w:t>单位采购监管部门</w:t>
            </w:r>
            <w:r>
              <w:rPr>
                <w:rFonts w:hint="eastAsia" w:ascii="宋体" w:hAnsi="宋体" w:cs="宋体"/>
                <w:bCs/>
                <w:color w:val="auto"/>
                <w:sz w:val="24"/>
                <w:szCs w:val="24"/>
                <w:highlight w:val="none"/>
                <w:lang w:val="zh-CN"/>
              </w:rPr>
              <w:t>上报有关情况</w:t>
            </w:r>
            <w:r>
              <w:rPr>
                <w:rFonts w:hint="eastAsia" w:ascii="宋体" w:hAnsi="宋体" w:cs="宋体"/>
                <w:bCs/>
                <w:color w:val="auto"/>
                <w:sz w:val="24"/>
                <w:szCs w:val="24"/>
                <w:highlight w:val="none"/>
              </w:rPr>
              <w:t>的权利。</w:t>
            </w:r>
          </w:p>
        </w:tc>
      </w:tr>
      <w:tr w14:paraId="32F5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restart"/>
            <w:noWrap w:val="0"/>
            <w:vAlign w:val="center"/>
          </w:tcPr>
          <w:p w14:paraId="58ECDDC1">
            <w:pPr>
              <w:adjustRightInd w:val="0"/>
              <w:spacing w:line="320" w:lineRule="exact"/>
              <w:jc w:val="center"/>
              <w:rPr>
                <w:rFonts w:ascii="黑体" w:hAnsi="黑体" w:eastAsia="黑体" w:cs="黑体"/>
                <w:color w:val="auto"/>
                <w:kern w:val="0"/>
                <w:sz w:val="24"/>
                <w:szCs w:val="24"/>
                <w:lang w:val="zh-CN"/>
              </w:rPr>
            </w:pPr>
            <w:r>
              <w:rPr>
                <w:rFonts w:hint="eastAsia" w:ascii="黑体" w:hAnsi="黑体" w:eastAsia="黑体" w:cs="黑体"/>
                <w:color w:val="auto"/>
                <w:kern w:val="0"/>
                <w:sz w:val="24"/>
                <w:szCs w:val="24"/>
              </w:rPr>
              <w:t>4</w:t>
            </w:r>
          </w:p>
        </w:tc>
        <w:tc>
          <w:tcPr>
            <w:tcW w:w="1991" w:type="dxa"/>
            <w:vMerge w:val="restart"/>
            <w:noWrap w:val="0"/>
            <w:vAlign w:val="center"/>
          </w:tcPr>
          <w:p w14:paraId="05E8BB27">
            <w:pPr>
              <w:adjustRightInd w:val="0"/>
              <w:spacing w:line="600" w:lineRule="exact"/>
              <w:jc w:val="center"/>
              <w:rPr>
                <w:rFonts w:ascii="黑体" w:hAnsi="黑体" w:eastAsia="黑体" w:cs="黑体"/>
                <w:color w:val="auto"/>
                <w:kern w:val="0"/>
                <w:sz w:val="24"/>
                <w:szCs w:val="24"/>
              </w:rPr>
            </w:pPr>
            <w:r>
              <w:rPr>
                <w:rFonts w:hint="eastAsia" w:ascii="黑体" w:hAnsi="黑体" w:eastAsia="黑体" w:cs="黑体"/>
                <w:color w:val="auto"/>
                <w:kern w:val="0"/>
                <w:sz w:val="24"/>
                <w:szCs w:val="24"/>
                <w:lang w:val="zh-CN"/>
              </w:rPr>
              <w:t>履约验收</w:t>
            </w:r>
            <w:r>
              <w:rPr>
                <w:rFonts w:hint="eastAsia" w:ascii="黑体" w:hAnsi="黑体" w:eastAsia="黑体" w:cs="黑体"/>
                <w:color w:val="auto"/>
                <w:kern w:val="0"/>
                <w:sz w:val="24"/>
                <w:szCs w:val="24"/>
              </w:rPr>
              <w:t>方案</w:t>
            </w:r>
          </w:p>
        </w:tc>
        <w:tc>
          <w:tcPr>
            <w:tcW w:w="983" w:type="dxa"/>
            <w:noWrap w:val="0"/>
            <w:vAlign w:val="center"/>
          </w:tcPr>
          <w:p w14:paraId="761B407A">
            <w:pPr>
              <w:spacing w:line="360" w:lineRule="auto"/>
              <w:jc w:val="center"/>
              <w:rPr>
                <w:rFonts w:ascii="宋体" w:hAnsi="宋体" w:cs="宋体"/>
                <w:color w:val="auto"/>
                <w:kern w:val="21"/>
                <w:sz w:val="24"/>
                <w:szCs w:val="24"/>
                <w:lang w:val="zh-CN"/>
              </w:rPr>
            </w:pPr>
            <w:r>
              <w:rPr>
                <w:rFonts w:hint="eastAsia" w:ascii="黑体" w:hAnsi="黑体" w:eastAsia="黑体" w:cs="黑体"/>
                <w:color w:val="auto"/>
                <w:kern w:val="0"/>
                <w:sz w:val="24"/>
                <w:szCs w:val="24"/>
                <w:lang w:val="zh-CN"/>
              </w:rPr>
              <w:t>验收交付标准和方法</w:t>
            </w:r>
          </w:p>
        </w:tc>
        <w:tc>
          <w:tcPr>
            <w:tcW w:w="6428" w:type="dxa"/>
            <w:noWrap w:val="0"/>
            <w:vAlign w:val="center"/>
          </w:tcPr>
          <w:p w14:paraId="35277A64">
            <w:pPr>
              <w:adjustRightInd w:val="0"/>
              <w:spacing w:line="360" w:lineRule="auto"/>
              <w:rPr>
                <w:rFonts w:ascii="宋体" w:hAnsi="宋体" w:cs="宋体"/>
                <w:color w:val="auto"/>
                <w:sz w:val="24"/>
                <w:szCs w:val="24"/>
              </w:rPr>
            </w:pPr>
            <w:r>
              <w:rPr>
                <w:rFonts w:hint="eastAsia" w:ascii="宋体" w:hAnsi="宋体" w:cs="宋体"/>
                <w:color w:val="auto"/>
                <w:sz w:val="24"/>
                <w:szCs w:val="24"/>
              </w:rPr>
              <w:t>第一，成交供应商须在合同约定的服务期限内完成采购人委托的相关服务后，及时向采购人交付已完成服务明细清单。</w:t>
            </w:r>
          </w:p>
          <w:p w14:paraId="5D472D05">
            <w:pPr>
              <w:adjustRightInd w:val="0"/>
              <w:spacing w:line="360" w:lineRule="auto"/>
              <w:rPr>
                <w:rFonts w:ascii="宋体" w:hAnsi="宋体" w:cs="宋体"/>
                <w:color w:val="auto"/>
                <w:kern w:val="21"/>
                <w:sz w:val="24"/>
                <w:szCs w:val="24"/>
                <w:lang w:val="zh-CN"/>
              </w:rPr>
            </w:pPr>
            <w:r>
              <w:rPr>
                <w:rFonts w:hint="eastAsia" w:ascii="宋体" w:hAnsi="宋体" w:cs="宋体"/>
                <w:color w:val="auto"/>
                <w:sz w:val="24"/>
                <w:szCs w:val="24"/>
              </w:rPr>
              <w:t>第二，成交供应商提供的所有服务须权属清楚，不得侵害他人的知识产权，且符合国家（行业）最新标准、本项目合同条款以及技术服务协议的有关要求。</w:t>
            </w:r>
          </w:p>
        </w:tc>
      </w:tr>
      <w:tr w14:paraId="4E53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03" w:type="dxa"/>
            <w:vMerge w:val="continue"/>
            <w:noWrap w:val="0"/>
            <w:vAlign w:val="center"/>
          </w:tcPr>
          <w:p w14:paraId="4628E660">
            <w:pPr>
              <w:spacing w:line="360" w:lineRule="auto"/>
              <w:rPr>
                <w:color w:val="auto"/>
                <w:sz w:val="24"/>
                <w:szCs w:val="24"/>
              </w:rPr>
            </w:pPr>
          </w:p>
        </w:tc>
        <w:tc>
          <w:tcPr>
            <w:tcW w:w="1991" w:type="dxa"/>
            <w:vMerge w:val="continue"/>
            <w:noWrap w:val="0"/>
            <w:vAlign w:val="center"/>
          </w:tcPr>
          <w:p w14:paraId="1310FE4E">
            <w:pPr>
              <w:spacing w:line="360" w:lineRule="auto"/>
              <w:rPr>
                <w:color w:val="auto"/>
                <w:sz w:val="24"/>
                <w:szCs w:val="24"/>
              </w:rPr>
            </w:pPr>
          </w:p>
        </w:tc>
        <w:tc>
          <w:tcPr>
            <w:tcW w:w="983" w:type="dxa"/>
            <w:noWrap w:val="0"/>
            <w:vAlign w:val="center"/>
          </w:tcPr>
          <w:p w14:paraId="2E03B168">
            <w:pPr>
              <w:adjustRightInd w:val="0"/>
              <w:spacing w:line="360" w:lineRule="auto"/>
              <w:jc w:val="center"/>
              <w:rPr>
                <w:rFonts w:ascii="宋体" w:hAnsi="宋体" w:cs="宋体"/>
                <w:color w:val="auto"/>
                <w:sz w:val="24"/>
                <w:szCs w:val="24"/>
              </w:rPr>
            </w:pPr>
            <w:r>
              <w:rPr>
                <w:rFonts w:hint="eastAsia" w:ascii="黑体" w:hAnsi="黑体" w:eastAsia="黑体" w:cs="黑体"/>
                <w:color w:val="auto"/>
                <w:kern w:val="0"/>
                <w:sz w:val="24"/>
                <w:szCs w:val="24"/>
              </w:rPr>
              <w:t>验收组织方式</w:t>
            </w:r>
          </w:p>
        </w:tc>
        <w:tc>
          <w:tcPr>
            <w:tcW w:w="6428" w:type="dxa"/>
            <w:noWrap w:val="0"/>
            <w:vAlign w:val="center"/>
          </w:tcPr>
          <w:p w14:paraId="42CD014A">
            <w:pPr>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自行验收（采购人自行组织的履约验收不邀请非成交供应商、服务对象、第三方检测机构等参与，任何供应商以及采购相关当事人不得干涉采购人自行验收权利、不得要求采购人变更验收方式）。</w:t>
            </w:r>
          </w:p>
        </w:tc>
      </w:tr>
      <w:tr w14:paraId="6437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continue"/>
            <w:noWrap w:val="0"/>
            <w:vAlign w:val="center"/>
          </w:tcPr>
          <w:p w14:paraId="38013DEB">
            <w:pPr>
              <w:spacing w:line="360" w:lineRule="auto"/>
              <w:rPr>
                <w:color w:val="auto"/>
                <w:sz w:val="24"/>
                <w:szCs w:val="24"/>
              </w:rPr>
            </w:pPr>
          </w:p>
        </w:tc>
        <w:tc>
          <w:tcPr>
            <w:tcW w:w="1991" w:type="dxa"/>
            <w:vMerge w:val="continue"/>
            <w:noWrap w:val="0"/>
            <w:vAlign w:val="center"/>
          </w:tcPr>
          <w:p w14:paraId="3E1BF046">
            <w:pPr>
              <w:spacing w:line="360" w:lineRule="auto"/>
              <w:rPr>
                <w:color w:val="auto"/>
                <w:sz w:val="24"/>
                <w:szCs w:val="24"/>
              </w:rPr>
            </w:pPr>
          </w:p>
        </w:tc>
        <w:tc>
          <w:tcPr>
            <w:tcW w:w="983" w:type="dxa"/>
            <w:noWrap w:val="0"/>
            <w:vAlign w:val="center"/>
          </w:tcPr>
          <w:p w14:paraId="24AAB735">
            <w:pPr>
              <w:spacing w:line="360" w:lineRule="auto"/>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履约验收程序与时间</w:t>
            </w:r>
          </w:p>
          <w:p w14:paraId="461D919E">
            <w:pPr>
              <w:spacing w:line="360" w:lineRule="auto"/>
              <w:jc w:val="center"/>
              <w:rPr>
                <w:rFonts w:ascii="宋体" w:hAnsi="宋体" w:cs="宋体"/>
                <w:color w:val="auto"/>
                <w:sz w:val="24"/>
                <w:szCs w:val="24"/>
              </w:rPr>
            </w:pPr>
          </w:p>
        </w:tc>
        <w:tc>
          <w:tcPr>
            <w:tcW w:w="6428" w:type="dxa"/>
            <w:noWrap w:val="0"/>
            <w:vAlign w:val="center"/>
          </w:tcPr>
          <w:p w14:paraId="26BA19E6">
            <w:pPr>
              <w:spacing w:line="360" w:lineRule="auto"/>
              <w:jc w:val="left"/>
              <w:rPr>
                <w:rFonts w:ascii="宋体" w:hAnsi="宋体" w:cs="宋体"/>
                <w:color w:val="auto"/>
                <w:sz w:val="24"/>
                <w:szCs w:val="24"/>
              </w:rPr>
            </w:pPr>
            <w:r>
              <w:rPr>
                <w:rFonts w:hint="eastAsia" w:ascii="宋体" w:hAnsi="宋体" w:cs="宋体"/>
                <w:color w:val="auto"/>
                <w:sz w:val="24"/>
                <w:szCs w:val="24"/>
              </w:rPr>
              <w:t>第一，验收程序：一次性验收。</w:t>
            </w:r>
          </w:p>
          <w:p w14:paraId="00E5BBE3">
            <w:pPr>
              <w:spacing w:line="360" w:lineRule="auto"/>
              <w:jc w:val="left"/>
              <w:rPr>
                <w:rFonts w:ascii="宋体" w:hAnsi="宋体" w:cs="宋体"/>
                <w:color w:val="auto"/>
                <w:sz w:val="24"/>
                <w:szCs w:val="24"/>
              </w:rPr>
            </w:pPr>
            <w:r>
              <w:rPr>
                <w:rFonts w:hint="eastAsia" w:ascii="宋体" w:hAnsi="宋体" w:cs="宋体"/>
                <w:color w:val="auto"/>
                <w:sz w:val="24"/>
                <w:szCs w:val="24"/>
              </w:rPr>
              <w:t>第二，验收条件：成交供应商须依据本项目合同条款、技术服务协议完成所有服务后，向采购人提出履约验收申请。</w:t>
            </w:r>
          </w:p>
          <w:p w14:paraId="5DE7A5E9">
            <w:pPr>
              <w:spacing w:line="360" w:lineRule="auto"/>
              <w:rPr>
                <w:rFonts w:ascii="宋体" w:hAnsi="宋体" w:cs="宋体"/>
                <w:color w:val="auto"/>
                <w:sz w:val="24"/>
                <w:szCs w:val="24"/>
                <w:highlight w:val="red"/>
              </w:rPr>
            </w:pPr>
            <w:r>
              <w:rPr>
                <w:rFonts w:hint="eastAsia" w:ascii="宋体" w:hAnsi="宋体" w:cs="宋体"/>
                <w:color w:val="auto"/>
                <w:sz w:val="24"/>
                <w:szCs w:val="24"/>
              </w:rPr>
              <w:t>第三，验收时间：采</w:t>
            </w:r>
            <w:r>
              <w:rPr>
                <w:rFonts w:hint="eastAsia" w:ascii="Times New Roman" w:hAnsi="Times New Roman" w:eastAsia="宋体" w:cs="Times New Roman"/>
                <w:color w:val="auto"/>
                <w:kern w:val="0"/>
                <w:sz w:val="24"/>
                <w:szCs w:val="24"/>
              </w:rPr>
              <w:t>购人在收到成交供应商提出的履约验收申请后</w:t>
            </w:r>
            <w:r>
              <w:rPr>
                <w:rFonts w:hint="eastAsia" w:ascii="Times New Roman" w:hAnsi="Times New Roman" w:eastAsia="宋体" w:cs="Times New Roman"/>
                <w:color w:val="auto"/>
                <w:kern w:val="0"/>
                <w:sz w:val="24"/>
                <w:szCs w:val="24"/>
                <w:u w:val="none"/>
              </w:rPr>
              <w:t>15</w:t>
            </w:r>
            <w:r>
              <w:rPr>
                <w:rFonts w:hint="eastAsia" w:ascii="Times New Roman" w:hAnsi="Times New Roman" w:eastAsia="宋体" w:cs="Times New Roman"/>
                <w:color w:val="auto"/>
                <w:kern w:val="0"/>
                <w:sz w:val="24"/>
                <w:szCs w:val="24"/>
              </w:rPr>
              <w:t>个日历</w:t>
            </w:r>
            <w:r>
              <w:rPr>
                <w:rFonts w:hint="eastAsia" w:ascii="宋体" w:hAnsi="宋体" w:cs="宋体"/>
                <w:color w:val="auto"/>
                <w:sz w:val="24"/>
                <w:szCs w:val="24"/>
              </w:rPr>
              <w:t>日内自行组织验收合同金额的100%。</w:t>
            </w:r>
          </w:p>
        </w:tc>
      </w:tr>
      <w:tr w14:paraId="1449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5" w:hRule="atLeast"/>
          <w:jc w:val="center"/>
        </w:trPr>
        <w:tc>
          <w:tcPr>
            <w:tcW w:w="803" w:type="dxa"/>
            <w:vMerge w:val="continue"/>
            <w:noWrap w:val="0"/>
            <w:vAlign w:val="center"/>
          </w:tcPr>
          <w:p w14:paraId="3FC6CE03">
            <w:pPr>
              <w:spacing w:line="360" w:lineRule="auto"/>
              <w:rPr>
                <w:color w:val="auto"/>
                <w:sz w:val="24"/>
                <w:szCs w:val="24"/>
              </w:rPr>
            </w:pPr>
          </w:p>
        </w:tc>
        <w:tc>
          <w:tcPr>
            <w:tcW w:w="1991" w:type="dxa"/>
            <w:vMerge w:val="continue"/>
            <w:noWrap w:val="0"/>
            <w:vAlign w:val="center"/>
          </w:tcPr>
          <w:p w14:paraId="50408B85">
            <w:pPr>
              <w:spacing w:line="360" w:lineRule="auto"/>
              <w:rPr>
                <w:color w:val="auto"/>
                <w:sz w:val="24"/>
                <w:szCs w:val="24"/>
              </w:rPr>
            </w:pPr>
          </w:p>
        </w:tc>
        <w:tc>
          <w:tcPr>
            <w:tcW w:w="983" w:type="dxa"/>
            <w:noWrap w:val="0"/>
            <w:vAlign w:val="center"/>
          </w:tcPr>
          <w:p w14:paraId="4EFA8EAC">
            <w:pPr>
              <w:spacing w:line="360" w:lineRule="auto"/>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验收组织的其他事项</w:t>
            </w:r>
          </w:p>
          <w:p w14:paraId="6A8CA579">
            <w:pPr>
              <w:spacing w:line="360" w:lineRule="auto"/>
              <w:jc w:val="center"/>
              <w:rPr>
                <w:rFonts w:ascii="宋体" w:hAnsi="宋体" w:cs="宋体"/>
                <w:color w:val="auto"/>
                <w:sz w:val="24"/>
                <w:szCs w:val="24"/>
              </w:rPr>
            </w:pPr>
          </w:p>
        </w:tc>
        <w:tc>
          <w:tcPr>
            <w:tcW w:w="6428" w:type="dxa"/>
            <w:noWrap w:val="0"/>
            <w:vAlign w:val="center"/>
          </w:tcPr>
          <w:p w14:paraId="243B9F5B">
            <w:pPr>
              <w:spacing w:line="360" w:lineRule="auto"/>
              <w:rPr>
                <w:rFonts w:ascii="宋体" w:hAnsi="宋体" w:cs="宋体"/>
                <w:color w:val="auto"/>
                <w:sz w:val="24"/>
                <w:szCs w:val="24"/>
              </w:rPr>
            </w:pPr>
            <w:r>
              <w:rPr>
                <w:rFonts w:hint="eastAsia" w:ascii="宋体" w:hAnsi="宋体" w:cs="宋体"/>
                <w:color w:val="auto"/>
                <w:sz w:val="24"/>
                <w:szCs w:val="24"/>
              </w:rPr>
              <w:t>第一，若因故推迟验收的，采购人应及时通知成交供应商变更的具体时间，但原则上不超过成交供应商向采购人提出履约验收申请后</w:t>
            </w:r>
            <w:r>
              <w:rPr>
                <w:rFonts w:hint="eastAsia" w:ascii="Times New Roman" w:hAnsi="Times New Roman" w:eastAsia="宋体" w:cs="Times New Roman"/>
                <w:color w:val="auto"/>
                <w:kern w:val="0"/>
                <w:sz w:val="24"/>
                <w:szCs w:val="24"/>
              </w:rPr>
              <w:t>3</w:t>
            </w:r>
            <w:r>
              <w:rPr>
                <w:rFonts w:hint="eastAsia" w:ascii="Times New Roman" w:hAnsi="Times New Roman" w:eastAsia="宋体" w:cs="Times New Roman"/>
                <w:color w:val="auto"/>
                <w:kern w:val="0"/>
                <w:sz w:val="24"/>
                <w:szCs w:val="24"/>
                <w:lang w:val="zh-CN"/>
              </w:rPr>
              <w:t>0</w:t>
            </w:r>
            <w:r>
              <w:rPr>
                <w:rFonts w:hint="eastAsia" w:ascii="Times New Roman" w:hAnsi="Times New Roman" w:eastAsia="宋体" w:cs="Times New Roman"/>
                <w:color w:val="auto"/>
                <w:kern w:val="0"/>
                <w:sz w:val="24"/>
                <w:szCs w:val="24"/>
              </w:rPr>
              <w:t>个日历</w:t>
            </w:r>
            <w:r>
              <w:rPr>
                <w:rFonts w:hint="eastAsia" w:ascii="宋体" w:hAnsi="宋体" w:cs="宋体"/>
                <w:color w:val="auto"/>
                <w:sz w:val="24"/>
                <w:szCs w:val="24"/>
              </w:rPr>
              <w:t>日内完成首次履约验收。</w:t>
            </w:r>
          </w:p>
          <w:p w14:paraId="24448CD4">
            <w:pPr>
              <w:adjustRightInd w:val="0"/>
              <w:spacing w:line="360" w:lineRule="auto"/>
              <w:rPr>
                <w:rFonts w:ascii="宋体" w:hAnsi="宋体" w:cs="宋体"/>
                <w:color w:val="auto"/>
                <w:sz w:val="24"/>
                <w:szCs w:val="24"/>
              </w:rPr>
            </w:pPr>
            <w:r>
              <w:rPr>
                <w:rFonts w:hint="eastAsia" w:ascii="宋体" w:hAnsi="宋体" w:cs="宋体"/>
                <w:color w:val="auto"/>
                <w:sz w:val="24"/>
                <w:szCs w:val="24"/>
              </w:rPr>
              <w:t>第二，验收时出现交付的部分服务要求的实际情况的符合性无法查实时，采购人有权要求成交供应商在双方约定的时间内提供针对该部分服务要求的、由第三方检测机构出具、可查询的检测报告，以此作为采购人履约验收的主要依据之一，但费用由成交供应商自行承担。若成交供应商拒绝或者未在双方约定时间提供符合要求的检测报告的或者提供的检测报告依然无法查实服务要求符合性的，应按照商务要求中“解决争议事项”办法处置。</w:t>
            </w:r>
          </w:p>
          <w:p w14:paraId="05B4FC16">
            <w:pPr>
              <w:adjustRightInd w:val="0"/>
              <w:spacing w:line="360" w:lineRule="auto"/>
              <w:rPr>
                <w:rFonts w:ascii="宋体" w:hAnsi="宋体" w:cs="宋体"/>
                <w:color w:val="auto"/>
                <w:sz w:val="24"/>
                <w:szCs w:val="24"/>
              </w:rPr>
            </w:pPr>
            <w:r>
              <w:rPr>
                <w:rFonts w:hint="eastAsia" w:ascii="宋体" w:hAnsi="宋体" w:cs="宋体"/>
                <w:color w:val="auto"/>
                <w:sz w:val="24"/>
                <w:szCs w:val="24"/>
              </w:rPr>
              <w:t>第三，上述验收程序和方式仅针对本项目质保期首次生效之日起前有效。</w:t>
            </w:r>
          </w:p>
        </w:tc>
      </w:tr>
      <w:tr w14:paraId="7704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803" w:type="dxa"/>
            <w:vMerge w:val="continue"/>
            <w:noWrap w:val="0"/>
            <w:vAlign w:val="center"/>
          </w:tcPr>
          <w:p w14:paraId="774860B2">
            <w:pPr>
              <w:spacing w:line="360" w:lineRule="auto"/>
              <w:rPr>
                <w:color w:val="auto"/>
                <w:sz w:val="24"/>
                <w:szCs w:val="24"/>
              </w:rPr>
            </w:pPr>
          </w:p>
        </w:tc>
        <w:tc>
          <w:tcPr>
            <w:tcW w:w="1991" w:type="dxa"/>
            <w:vMerge w:val="continue"/>
            <w:noWrap w:val="0"/>
            <w:vAlign w:val="center"/>
          </w:tcPr>
          <w:p w14:paraId="135E38E4">
            <w:pPr>
              <w:spacing w:line="360" w:lineRule="auto"/>
              <w:rPr>
                <w:color w:val="auto"/>
                <w:sz w:val="24"/>
                <w:szCs w:val="24"/>
              </w:rPr>
            </w:pPr>
          </w:p>
        </w:tc>
        <w:tc>
          <w:tcPr>
            <w:tcW w:w="983" w:type="dxa"/>
            <w:noWrap w:val="0"/>
            <w:vAlign w:val="center"/>
          </w:tcPr>
          <w:p w14:paraId="2F70F142">
            <w:pPr>
              <w:spacing w:line="360" w:lineRule="auto"/>
              <w:jc w:val="center"/>
              <w:rPr>
                <w:rFonts w:ascii="宋体" w:hAnsi="宋体" w:cs="宋体"/>
                <w:color w:val="auto"/>
                <w:sz w:val="24"/>
                <w:szCs w:val="24"/>
              </w:rPr>
            </w:pPr>
            <w:r>
              <w:rPr>
                <w:rFonts w:hint="eastAsia" w:ascii="黑体" w:hAnsi="黑体" w:eastAsia="黑体" w:cs="黑体"/>
                <w:color w:val="auto"/>
                <w:kern w:val="0"/>
                <w:sz w:val="24"/>
                <w:szCs w:val="24"/>
              </w:rPr>
              <w:t>技术履约验收内容</w:t>
            </w:r>
          </w:p>
        </w:tc>
        <w:tc>
          <w:tcPr>
            <w:tcW w:w="6428" w:type="dxa"/>
            <w:noWrap w:val="0"/>
            <w:vAlign w:val="center"/>
          </w:tcPr>
          <w:p w14:paraId="213D4C7E">
            <w:pPr>
              <w:spacing w:line="360" w:lineRule="auto"/>
              <w:rPr>
                <w:rFonts w:ascii="宋体" w:hAnsi="宋体" w:cs="宋体"/>
                <w:color w:val="auto"/>
                <w:sz w:val="24"/>
                <w:szCs w:val="24"/>
              </w:rPr>
            </w:pPr>
            <w:r>
              <w:rPr>
                <w:rFonts w:hint="eastAsia" w:ascii="宋体" w:hAnsi="宋体" w:cs="宋体"/>
                <w:color w:val="auto"/>
                <w:sz w:val="24"/>
                <w:szCs w:val="24"/>
              </w:rPr>
              <w:t>成交供应商交付</w:t>
            </w:r>
            <w:r>
              <w:rPr>
                <w:rFonts w:hint="eastAsia" w:ascii="宋体" w:hAnsi="宋体" w:eastAsia="宋体" w:cs="宋体"/>
                <w:color w:val="auto"/>
                <w:kern w:val="0"/>
                <w:sz w:val="24"/>
                <w:szCs w:val="24"/>
              </w:rPr>
              <w:t>服务涉及的响应服务内容实际值与</w:t>
            </w:r>
            <w:r>
              <w:rPr>
                <w:rFonts w:hint="eastAsia" w:ascii="宋体" w:hAnsi="宋体" w:cs="宋体"/>
                <w:color w:val="auto"/>
                <w:sz w:val="24"/>
                <w:szCs w:val="24"/>
              </w:rPr>
              <w:t>本项目合同条款、技术服务协议、采购文件要求以及成交供应商响应（投标）文件</w:t>
            </w:r>
            <w:r>
              <w:rPr>
                <w:rFonts w:hint="eastAsia" w:ascii="宋体" w:hAnsi="宋体" w:eastAsia="宋体" w:cs="宋体"/>
                <w:color w:val="auto"/>
                <w:kern w:val="0"/>
                <w:sz w:val="24"/>
                <w:szCs w:val="24"/>
              </w:rPr>
              <w:t>（投标产品技术参数表或服务内容）</w:t>
            </w:r>
            <w:r>
              <w:rPr>
                <w:rFonts w:hint="eastAsia" w:ascii="宋体" w:hAnsi="宋体" w:cs="宋体"/>
                <w:color w:val="auto"/>
                <w:sz w:val="24"/>
                <w:szCs w:val="24"/>
              </w:rPr>
              <w:t>及承诺内容的符合性。</w:t>
            </w:r>
          </w:p>
        </w:tc>
      </w:tr>
      <w:tr w14:paraId="242D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803" w:type="dxa"/>
            <w:vMerge w:val="continue"/>
            <w:noWrap w:val="0"/>
            <w:vAlign w:val="center"/>
          </w:tcPr>
          <w:p w14:paraId="6A759FB0">
            <w:pPr>
              <w:spacing w:line="360" w:lineRule="auto"/>
              <w:jc w:val="center"/>
              <w:rPr>
                <w:color w:val="auto"/>
                <w:sz w:val="24"/>
                <w:szCs w:val="24"/>
              </w:rPr>
            </w:pPr>
          </w:p>
        </w:tc>
        <w:tc>
          <w:tcPr>
            <w:tcW w:w="1991" w:type="dxa"/>
            <w:vMerge w:val="continue"/>
            <w:noWrap w:val="0"/>
            <w:vAlign w:val="center"/>
          </w:tcPr>
          <w:p w14:paraId="350E9F2D">
            <w:pPr>
              <w:spacing w:line="360" w:lineRule="auto"/>
              <w:jc w:val="center"/>
              <w:rPr>
                <w:color w:val="auto"/>
                <w:sz w:val="24"/>
                <w:szCs w:val="24"/>
              </w:rPr>
            </w:pPr>
          </w:p>
        </w:tc>
        <w:tc>
          <w:tcPr>
            <w:tcW w:w="983" w:type="dxa"/>
            <w:noWrap w:val="0"/>
            <w:vAlign w:val="center"/>
          </w:tcPr>
          <w:p w14:paraId="6E8C2C2B">
            <w:pPr>
              <w:spacing w:line="360" w:lineRule="auto"/>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商务履约验收内容</w:t>
            </w:r>
          </w:p>
        </w:tc>
        <w:tc>
          <w:tcPr>
            <w:tcW w:w="6428" w:type="dxa"/>
            <w:noWrap w:val="0"/>
            <w:vAlign w:val="center"/>
          </w:tcPr>
          <w:p w14:paraId="33F9BCD0">
            <w:pPr>
              <w:spacing w:line="360" w:lineRule="auto"/>
              <w:rPr>
                <w:rFonts w:ascii="黑体" w:hAnsi="黑体" w:eastAsia="黑体" w:cs="黑体"/>
                <w:color w:val="auto"/>
                <w:kern w:val="0"/>
                <w:sz w:val="24"/>
                <w:szCs w:val="24"/>
              </w:rPr>
            </w:pPr>
            <w:r>
              <w:rPr>
                <w:rFonts w:hint="eastAsia" w:ascii="宋体" w:hAnsi="宋体" w:cs="宋体"/>
                <w:color w:val="auto"/>
                <w:sz w:val="24"/>
                <w:szCs w:val="24"/>
              </w:rPr>
              <w:t>成交供应商的履约过程</w:t>
            </w:r>
            <w:r>
              <w:rPr>
                <w:rFonts w:hint="eastAsia" w:ascii="宋体" w:hAnsi="宋体" w:eastAsia="宋体" w:cs="宋体"/>
                <w:color w:val="auto"/>
                <w:kern w:val="0"/>
                <w:sz w:val="24"/>
                <w:szCs w:val="24"/>
              </w:rPr>
              <w:t>与</w:t>
            </w:r>
            <w:r>
              <w:rPr>
                <w:rFonts w:hint="eastAsia" w:ascii="宋体" w:hAnsi="宋体" w:cs="宋体"/>
                <w:color w:val="auto"/>
                <w:sz w:val="24"/>
                <w:szCs w:val="24"/>
              </w:rPr>
              <w:t>本项目合同条款、技术服务协议、采购文件要求以及成交供应商响应（投标）文件</w:t>
            </w:r>
            <w:r>
              <w:rPr>
                <w:rFonts w:hint="eastAsia" w:ascii="宋体" w:hAnsi="宋体" w:eastAsia="宋体" w:cs="宋体"/>
                <w:color w:val="auto"/>
                <w:kern w:val="0"/>
                <w:sz w:val="24"/>
                <w:szCs w:val="24"/>
              </w:rPr>
              <w:t>（商务应答表）</w:t>
            </w:r>
            <w:r>
              <w:rPr>
                <w:rFonts w:hint="eastAsia" w:ascii="宋体" w:hAnsi="宋体" w:cs="宋体"/>
                <w:color w:val="auto"/>
                <w:sz w:val="24"/>
                <w:szCs w:val="24"/>
              </w:rPr>
              <w:t>及承诺内容的符合性。</w:t>
            </w:r>
          </w:p>
        </w:tc>
      </w:tr>
      <w:tr w14:paraId="0429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3" w:type="dxa"/>
            <w:vMerge w:val="continue"/>
            <w:noWrap w:val="0"/>
            <w:vAlign w:val="center"/>
          </w:tcPr>
          <w:p w14:paraId="4D09A7E3">
            <w:pPr>
              <w:spacing w:line="360" w:lineRule="auto"/>
              <w:jc w:val="center"/>
              <w:rPr>
                <w:color w:val="auto"/>
                <w:sz w:val="24"/>
                <w:szCs w:val="24"/>
              </w:rPr>
            </w:pPr>
          </w:p>
        </w:tc>
        <w:tc>
          <w:tcPr>
            <w:tcW w:w="1991" w:type="dxa"/>
            <w:vMerge w:val="continue"/>
            <w:noWrap w:val="0"/>
            <w:vAlign w:val="center"/>
          </w:tcPr>
          <w:p w14:paraId="1A93ADE0">
            <w:pPr>
              <w:spacing w:line="360" w:lineRule="auto"/>
              <w:jc w:val="center"/>
              <w:rPr>
                <w:color w:val="auto"/>
                <w:sz w:val="24"/>
                <w:szCs w:val="24"/>
              </w:rPr>
            </w:pPr>
          </w:p>
        </w:tc>
        <w:tc>
          <w:tcPr>
            <w:tcW w:w="983" w:type="dxa"/>
            <w:noWrap w:val="0"/>
            <w:vAlign w:val="center"/>
          </w:tcPr>
          <w:p w14:paraId="7A4D2C4E">
            <w:pPr>
              <w:spacing w:line="360" w:lineRule="auto"/>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履约验收标准</w:t>
            </w:r>
          </w:p>
        </w:tc>
        <w:tc>
          <w:tcPr>
            <w:tcW w:w="6428" w:type="dxa"/>
            <w:noWrap w:val="0"/>
            <w:vAlign w:val="center"/>
          </w:tcPr>
          <w:p w14:paraId="4F30722D">
            <w:pPr>
              <w:spacing w:line="360" w:lineRule="auto"/>
              <w:jc w:val="left"/>
              <w:rPr>
                <w:rFonts w:ascii="黑体" w:hAnsi="黑体" w:eastAsia="黑体" w:cs="黑体"/>
                <w:color w:val="auto"/>
                <w:kern w:val="0"/>
                <w:sz w:val="24"/>
                <w:szCs w:val="24"/>
              </w:rPr>
            </w:pPr>
            <w:r>
              <w:rPr>
                <w:rFonts w:hint="eastAsia" w:ascii="宋体" w:hAnsi="宋体" w:cs="宋体"/>
                <w:color w:val="auto"/>
                <w:sz w:val="24"/>
                <w:szCs w:val="24"/>
              </w:rPr>
              <w:t>采购人将依据《财政部关于进一步加强政府采购需求和履约验收管理的指导意见》（财库〔</w:t>
            </w:r>
            <w:r>
              <w:rPr>
                <w:rFonts w:hint="eastAsia" w:ascii="Times New Roman" w:hAnsi="Times New Roman" w:eastAsia="宋体" w:cs="Times New Roman"/>
                <w:color w:val="auto"/>
                <w:kern w:val="0"/>
                <w:sz w:val="24"/>
                <w:szCs w:val="24"/>
                <w:lang w:val="zh-CN"/>
              </w:rPr>
              <w:t>2016</w:t>
            </w:r>
            <w:r>
              <w:rPr>
                <w:rFonts w:hint="eastAsia" w:ascii="宋体" w:hAnsi="宋体" w:cs="宋体"/>
                <w:color w:val="auto"/>
                <w:sz w:val="24"/>
                <w:szCs w:val="24"/>
              </w:rPr>
              <w:t>〕</w:t>
            </w:r>
            <w:r>
              <w:rPr>
                <w:rFonts w:hint="eastAsia" w:ascii="Times New Roman" w:hAnsi="Times New Roman" w:eastAsia="宋体" w:cs="Times New Roman"/>
                <w:color w:val="auto"/>
                <w:kern w:val="0"/>
                <w:sz w:val="24"/>
                <w:szCs w:val="24"/>
                <w:lang w:val="zh-CN"/>
              </w:rPr>
              <w:t>205</w:t>
            </w:r>
            <w:r>
              <w:rPr>
                <w:rFonts w:hint="eastAsia" w:ascii="宋体" w:hAnsi="宋体" w:cs="宋体"/>
                <w:color w:val="auto"/>
                <w:sz w:val="24"/>
                <w:szCs w:val="24"/>
              </w:rPr>
              <w:t>号）、《西南科技大学货物、服务采购项目履约验收管理办法》（西南科大〔</w:t>
            </w:r>
            <w:r>
              <w:rPr>
                <w:rFonts w:hint="eastAsia" w:ascii="Times New Roman" w:hAnsi="Times New Roman" w:eastAsia="宋体" w:cs="Times New Roman"/>
                <w:color w:val="auto"/>
                <w:kern w:val="0"/>
                <w:sz w:val="24"/>
                <w:szCs w:val="24"/>
                <w:lang w:val="zh-CN"/>
              </w:rPr>
              <w:t>20</w:t>
            </w:r>
            <w:r>
              <w:rPr>
                <w:rFonts w:hint="eastAsia" w:ascii="Times New Roman" w:hAnsi="Times New Roman" w:eastAsia="宋体" w:cs="Times New Roman"/>
                <w:color w:val="auto"/>
                <w:kern w:val="0"/>
                <w:sz w:val="24"/>
                <w:szCs w:val="24"/>
              </w:rPr>
              <w:t>25</w:t>
            </w:r>
            <w:r>
              <w:rPr>
                <w:rFonts w:hint="eastAsia" w:ascii="宋体" w:hAnsi="宋体" w:cs="宋体"/>
                <w:color w:val="auto"/>
                <w:sz w:val="24"/>
                <w:szCs w:val="24"/>
              </w:rPr>
              <w:t>〕</w:t>
            </w:r>
            <w:r>
              <w:rPr>
                <w:rFonts w:hint="eastAsia" w:ascii="Times New Roman" w:hAnsi="Times New Roman" w:eastAsia="宋体" w:cs="Times New Roman"/>
                <w:color w:val="auto"/>
                <w:kern w:val="0"/>
                <w:sz w:val="24"/>
                <w:szCs w:val="24"/>
              </w:rPr>
              <w:t>2</w:t>
            </w:r>
            <w:r>
              <w:rPr>
                <w:rFonts w:hint="eastAsia" w:ascii="宋体" w:hAnsi="宋体" w:cs="宋体"/>
                <w:color w:val="auto"/>
                <w:sz w:val="24"/>
                <w:szCs w:val="24"/>
              </w:rPr>
              <w:t>号）的有关要求组织实施，并遵循本项目合同条款、技术服务协议、采购文件要求以及成交供应商响应（投标）文件及承诺内容自行组织验收。</w:t>
            </w:r>
          </w:p>
        </w:tc>
      </w:tr>
      <w:tr w14:paraId="4F04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3" w:type="dxa"/>
            <w:vMerge w:val="continue"/>
            <w:noWrap w:val="0"/>
            <w:vAlign w:val="center"/>
          </w:tcPr>
          <w:p w14:paraId="3CBB6104">
            <w:pPr>
              <w:spacing w:line="360" w:lineRule="auto"/>
              <w:jc w:val="center"/>
              <w:rPr>
                <w:color w:val="auto"/>
                <w:sz w:val="24"/>
                <w:szCs w:val="24"/>
              </w:rPr>
            </w:pPr>
          </w:p>
        </w:tc>
        <w:tc>
          <w:tcPr>
            <w:tcW w:w="1991" w:type="dxa"/>
            <w:vMerge w:val="continue"/>
            <w:noWrap w:val="0"/>
            <w:vAlign w:val="center"/>
          </w:tcPr>
          <w:p w14:paraId="1DB68960">
            <w:pPr>
              <w:spacing w:line="360" w:lineRule="auto"/>
              <w:jc w:val="center"/>
              <w:rPr>
                <w:color w:val="auto"/>
                <w:sz w:val="24"/>
                <w:szCs w:val="24"/>
              </w:rPr>
            </w:pPr>
          </w:p>
        </w:tc>
        <w:tc>
          <w:tcPr>
            <w:tcW w:w="983" w:type="dxa"/>
            <w:noWrap w:val="0"/>
            <w:vAlign w:val="center"/>
          </w:tcPr>
          <w:p w14:paraId="0A99724E">
            <w:pPr>
              <w:spacing w:line="360" w:lineRule="auto"/>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履约验收其他事项</w:t>
            </w:r>
          </w:p>
        </w:tc>
        <w:tc>
          <w:tcPr>
            <w:tcW w:w="6428" w:type="dxa"/>
            <w:noWrap w:val="0"/>
            <w:vAlign w:val="center"/>
          </w:tcPr>
          <w:p w14:paraId="3335E63B">
            <w:pPr>
              <w:spacing w:line="360" w:lineRule="auto"/>
              <w:rPr>
                <w:rFonts w:ascii="黑体" w:hAnsi="黑体" w:eastAsia="黑体" w:cs="黑体"/>
                <w:color w:val="auto"/>
                <w:kern w:val="0"/>
                <w:sz w:val="24"/>
                <w:szCs w:val="24"/>
              </w:rPr>
            </w:pPr>
            <w:r>
              <w:rPr>
                <w:rFonts w:hint="eastAsia" w:ascii="宋体" w:hAnsi="宋体" w:cs="宋体"/>
                <w:color w:val="auto"/>
                <w:sz w:val="24"/>
                <w:szCs w:val="24"/>
              </w:rPr>
              <w:t>针对出现成交供应商履约验收结果不合格的情形，采购人将视情况采取以下措施，</w:t>
            </w:r>
            <w:r>
              <w:rPr>
                <w:rFonts w:hint="eastAsia" w:ascii="宋体" w:hAnsi="宋体" w:cs="宋体"/>
                <w:bCs/>
                <w:color w:val="auto"/>
                <w:sz w:val="24"/>
                <w:szCs w:val="24"/>
              </w:rPr>
              <w:t>并保留进一步</w:t>
            </w:r>
            <w:r>
              <w:rPr>
                <w:rFonts w:hint="eastAsia" w:ascii="宋体" w:hAnsi="宋体" w:cs="宋体"/>
                <w:color w:val="auto"/>
                <w:sz w:val="24"/>
                <w:szCs w:val="24"/>
              </w:rPr>
              <w:t>追究成交供应商全部违约责任的权利：（1）不予向成交供应商支付本项目合同约定的采购资金；（2）</w:t>
            </w:r>
            <w:r>
              <w:rPr>
                <w:rFonts w:hint="eastAsia" w:ascii="宋体" w:hAnsi="宋体" w:cs="宋体"/>
                <w:bCs/>
                <w:color w:val="auto"/>
                <w:sz w:val="24"/>
                <w:szCs w:val="24"/>
              </w:rPr>
              <w:t>不予</w:t>
            </w:r>
            <w:r>
              <w:rPr>
                <w:rFonts w:hint="eastAsia" w:ascii="宋体" w:hAnsi="宋体" w:cs="宋体"/>
                <w:color w:val="auto"/>
                <w:sz w:val="24"/>
                <w:szCs w:val="24"/>
              </w:rPr>
              <w:t>向成交供应商</w:t>
            </w:r>
            <w:r>
              <w:rPr>
                <w:rFonts w:hint="eastAsia" w:ascii="宋体" w:hAnsi="宋体" w:cs="宋体"/>
                <w:bCs/>
                <w:color w:val="auto"/>
                <w:sz w:val="24"/>
                <w:szCs w:val="24"/>
              </w:rPr>
              <w:t>退还本项目履约保证金（若涉及保函的，采购人将向出具保函的金融机构或担保机构申请索赔）；（3）视</w:t>
            </w:r>
            <w:r>
              <w:rPr>
                <w:rFonts w:hint="eastAsia" w:ascii="宋体" w:hAnsi="宋体" w:cs="宋体"/>
                <w:color w:val="auto"/>
                <w:sz w:val="24"/>
                <w:szCs w:val="24"/>
              </w:rPr>
              <w:t>成交供应商</w:t>
            </w:r>
            <w:r>
              <w:rPr>
                <w:rFonts w:hint="eastAsia" w:ascii="宋体" w:hAnsi="宋体" w:cs="宋体"/>
                <w:bCs/>
                <w:color w:val="auto"/>
                <w:sz w:val="24"/>
                <w:szCs w:val="24"/>
              </w:rPr>
              <w:t>提供虚假材料谋取成交（中标），采购人将依据本项目采购合同和技术服务协议、参照政府采购相关法律法规</w:t>
            </w:r>
            <w:r>
              <w:rPr>
                <w:rFonts w:hint="eastAsia" w:ascii="宋体" w:hAnsi="宋体" w:cs="宋体"/>
                <w:color w:val="auto"/>
                <w:kern w:val="21"/>
                <w:sz w:val="24"/>
                <w:szCs w:val="24"/>
              </w:rPr>
              <w:t>等有关规定，</w:t>
            </w:r>
            <w:r>
              <w:rPr>
                <w:rFonts w:hint="eastAsia" w:ascii="宋体" w:hAnsi="宋体" w:cs="宋体"/>
                <w:bCs/>
                <w:color w:val="auto"/>
                <w:sz w:val="24"/>
                <w:szCs w:val="24"/>
              </w:rPr>
              <w:t>向学校计划财务处书面报告履约验收有关情况，对</w:t>
            </w:r>
            <w:r>
              <w:rPr>
                <w:rFonts w:hint="eastAsia" w:ascii="宋体" w:hAnsi="宋体" w:cs="宋体"/>
                <w:color w:val="auto"/>
                <w:sz w:val="24"/>
                <w:szCs w:val="24"/>
              </w:rPr>
              <w:t>成交供应商</w:t>
            </w:r>
            <w:r>
              <w:rPr>
                <w:rFonts w:hint="eastAsia" w:ascii="宋体" w:hAnsi="宋体" w:cs="宋体"/>
                <w:bCs/>
                <w:color w:val="auto"/>
                <w:sz w:val="24"/>
                <w:szCs w:val="24"/>
              </w:rPr>
              <w:t>依法进行惩戒和追究法律责任，同时会同有关部门将</w:t>
            </w:r>
            <w:r>
              <w:rPr>
                <w:rFonts w:hint="eastAsia" w:ascii="宋体" w:hAnsi="宋体" w:cs="宋体"/>
                <w:color w:val="auto"/>
                <w:sz w:val="24"/>
                <w:szCs w:val="24"/>
              </w:rPr>
              <w:t>成交供应商</w:t>
            </w:r>
            <w:r>
              <w:rPr>
                <w:rFonts w:hint="eastAsia" w:ascii="宋体" w:hAnsi="宋体" w:cs="宋体"/>
                <w:color w:val="auto"/>
                <w:kern w:val="21"/>
                <w:sz w:val="24"/>
                <w:szCs w:val="24"/>
              </w:rPr>
              <w:t>的失信行为记入诚信档案。</w:t>
            </w:r>
          </w:p>
        </w:tc>
      </w:tr>
      <w:tr w14:paraId="0107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803" w:type="dxa"/>
            <w:vMerge w:val="restart"/>
            <w:noWrap w:val="0"/>
            <w:vAlign w:val="center"/>
          </w:tcPr>
          <w:p w14:paraId="4F4485D9">
            <w:pPr>
              <w:adjustRightInd w:val="0"/>
              <w:spacing w:line="320" w:lineRule="exact"/>
              <w:jc w:val="center"/>
              <w:rPr>
                <w:rFonts w:ascii="黑体" w:hAnsi="黑体" w:eastAsia="黑体" w:cs="黑体"/>
                <w:color w:val="auto"/>
                <w:kern w:val="0"/>
                <w:sz w:val="24"/>
                <w:szCs w:val="24"/>
                <w:lang w:val="zh-CN"/>
              </w:rPr>
            </w:pPr>
            <w:r>
              <w:rPr>
                <w:rFonts w:hint="eastAsia" w:ascii="黑体" w:hAnsi="黑体" w:eastAsia="黑体" w:cs="黑体"/>
                <w:color w:val="auto"/>
                <w:kern w:val="0"/>
                <w:sz w:val="24"/>
                <w:szCs w:val="24"/>
              </w:rPr>
              <w:t>5</w:t>
            </w:r>
          </w:p>
        </w:tc>
        <w:tc>
          <w:tcPr>
            <w:tcW w:w="1991" w:type="dxa"/>
            <w:vMerge w:val="restart"/>
            <w:noWrap w:val="0"/>
            <w:vAlign w:val="center"/>
          </w:tcPr>
          <w:p w14:paraId="1724CF20">
            <w:pPr>
              <w:adjustRightInd w:val="0"/>
              <w:spacing w:line="600" w:lineRule="exact"/>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付款</w:t>
            </w:r>
            <w:r>
              <w:rPr>
                <w:rFonts w:hint="eastAsia" w:ascii="黑体" w:hAnsi="黑体" w:eastAsia="黑体" w:cs="黑体"/>
                <w:color w:val="auto"/>
                <w:kern w:val="0"/>
                <w:sz w:val="24"/>
                <w:szCs w:val="24"/>
                <w:lang w:val="zh-CN"/>
              </w:rPr>
              <w:t>进度</w:t>
            </w:r>
            <w:r>
              <w:rPr>
                <w:rFonts w:hint="eastAsia" w:ascii="黑体" w:hAnsi="黑体" w:eastAsia="黑体" w:cs="黑体"/>
                <w:color w:val="auto"/>
                <w:kern w:val="0"/>
                <w:sz w:val="24"/>
                <w:szCs w:val="24"/>
              </w:rPr>
              <w:t>安排</w:t>
            </w:r>
          </w:p>
        </w:tc>
        <w:tc>
          <w:tcPr>
            <w:tcW w:w="983" w:type="dxa"/>
            <w:noWrap w:val="0"/>
            <w:vAlign w:val="center"/>
          </w:tcPr>
          <w:p w14:paraId="746EF814">
            <w:pPr>
              <w:spacing w:line="360" w:lineRule="auto"/>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付</w:t>
            </w:r>
          </w:p>
          <w:p w14:paraId="28A3877F">
            <w:pPr>
              <w:spacing w:line="360" w:lineRule="auto"/>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款</w:t>
            </w:r>
          </w:p>
          <w:p w14:paraId="1848FBC8">
            <w:pPr>
              <w:spacing w:line="360" w:lineRule="auto"/>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条</w:t>
            </w:r>
          </w:p>
          <w:p w14:paraId="14309C4E">
            <w:pPr>
              <w:spacing w:line="360" w:lineRule="auto"/>
              <w:jc w:val="center"/>
              <w:rPr>
                <w:rFonts w:ascii="宋体" w:hAnsi="宋体" w:cs="宋体"/>
                <w:color w:val="auto"/>
                <w:sz w:val="24"/>
                <w:szCs w:val="24"/>
              </w:rPr>
            </w:pPr>
            <w:r>
              <w:rPr>
                <w:rFonts w:hint="eastAsia" w:ascii="黑体" w:hAnsi="黑体" w:eastAsia="黑体" w:cs="黑体"/>
                <w:color w:val="auto"/>
                <w:kern w:val="0"/>
                <w:sz w:val="24"/>
                <w:szCs w:val="24"/>
              </w:rPr>
              <w:t>件</w:t>
            </w:r>
          </w:p>
        </w:tc>
        <w:tc>
          <w:tcPr>
            <w:tcW w:w="6428" w:type="dxa"/>
            <w:noWrap w:val="0"/>
            <w:vAlign w:val="center"/>
          </w:tcPr>
          <w:p w14:paraId="40E69D9C">
            <w:pPr>
              <w:adjustRightInd w:val="0"/>
              <w:spacing w:line="360" w:lineRule="auto"/>
              <w:rPr>
                <w:rFonts w:ascii="宋体" w:hAnsi="宋体" w:cs="宋体"/>
                <w:color w:val="auto"/>
                <w:sz w:val="24"/>
                <w:szCs w:val="24"/>
              </w:rPr>
            </w:pPr>
            <w:r>
              <w:rPr>
                <w:rFonts w:hint="eastAsia" w:ascii="宋体" w:hAnsi="宋体" w:cs="宋体"/>
                <w:bCs/>
                <w:color w:val="auto"/>
                <w:sz w:val="24"/>
                <w:szCs w:val="24"/>
              </w:rPr>
              <w:t>成交供应商</w:t>
            </w:r>
            <w:r>
              <w:rPr>
                <w:rFonts w:ascii="宋体" w:hAnsi="宋体" w:cs="宋体"/>
                <w:bCs/>
                <w:color w:val="auto"/>
                <w:sz w:val="24"/>
                <w:szCs w:val="24"/>
              </w:rPr>
              <w:t>履约完成的</w:t>
            </w:r>
            <w:r>
              <w:rPr>
                <w:rFonts w:hint="eastAsia" w:ascii="宋体" w:hAnsi="宋体" w:cs="宋体"/>
                <w:bCs/>
                <w:color w:val="auto"/>
                <w:sz w:val="24"/>
                <w:szCs w:val="24"/>
              </w:rPr>
              <w:t>所有</w:t>
            </w:r>
            <w:r>
              <w:rPr>
                <w:rFonts w:ascii="宋体" w:hAnsi="宋体" w:cs="宋体"/>
                <w:bCs/>
                <w:color w:val="auto"/>
                <w:sz w:val="24"/>
                <w:szCs w:val="24"/>
              </w:rPr>
              <w:t>服务经采购人自行组织验收</w:t>
            </w:r>
            <w:r>
              <w:rPr>
                <w:rFonts w:hint="eastAsia" w:ascii="宋体" w:hAnsi="宋体" w:cs="宋体"/>
                <w:bCs/>
                <w:color w:val="auto"/>
                <w:sz w:val="24"/>
                <w:szCs w:val="24"/>
              </w:rPr>
              <w:t>结果</w:t>
            </w:r>
            <w:r>
              <w:rPr>
                <w:rFonts w:ascii="宋体" w:hAnsi="宋体" w:cs="宋体"/>
                <w:bCs/>
                <w:color w:val="auto"/>
                <w:sz w:val="24"/>
                <w:szCs w:val="24"/>
              </w:rPr>
              <w:t>合格后</w:t>
            </w:r>
            <w:r>
              <w:rPr>
                <w:rFonts w:hint="eastAsia" w:ascii="宋体" w:hAnsi="宋体" w:cs="宋体"/>
                <w:bCs/>
                <w:color w:val="auto"/>
                <w:sz w:val="24"/>
                <w:szCs w:val="24"/>
              </w:rPr>
              <w:t>，成交供应商</w:t>
            </w:r>
            <w:r>
              <w:rPr>
                <w:rFonts w:hint="eastAsia" w:ascii="宋体" w:hAnsi="宋体" w:cs="宋体"/>
                <w:color w:val="auto"/>
                <w:sz w:val="24"/>
                <w:szCs w:val="24"/>
              </w:rPr>
              <w:t>须及时向采购人提供与合同金额对应的、真实有效的增值税发票。采购人在收到</w:t>
            </w:r>
            <w:r>
              <w:rPr>
                <w:rFonts w:hint="eastAsia" w:ascii="宋体" w:hAnsi="宋体" w:cs="宋体"/>
                <w:bCs/>
                <w:color w:val="auto"/>
                <w:sz w:val="24"/>
                <w:szCs w:val="24"/>
              </w:rPr>
              <w:t>成交供应商</w:t>
            </w:r>
            <w:r>
              <w:rPr>
                <w:rFonts w:hint="eastAsia" w:ascii="宋体" w:hAnsi="宋体" w:cs="宋体"/>
                <w:color w:val="auto"/>
                <w:sz w:val="24"/>
                <w:szCs w:val="24"/>
              </w:rPr>
              <w:t>提供的符合要求的增值税发票后15个工作日内，向</w:t>
            </w:r>
            <w:r>
              <w:rPr>
                <w:rFonts w:hint="eastAsia" w:ascii="宋体" w:hAnsi="宋体" w:cs="宋体"/>
                <w:bCs/>
                <w:color w:val="auto"/>
                <w:sz w:val="24"/>
                <w:szCs w:val="24"/>
              </w:rPr>
              <w:t>成交供应商</w:t>
            </w:r>
            <w:r>
              <w:rPr>
                <w:rFonts w:hint="eastAsia" w:ascii="宋体" w:hAnsi="宋体" w:cs="宋体"/>
                <w:color w:val="auto"/>
                <w:sz w:val="24"/>
                <w:szCs w:val="24"/>
              </w:rPr>
              <w:t>支付合同金额的100%。</w:t>
            </w:r>
          </w:p>
        </w:tc>
      </w:tr>
      <w:tr w14:paraId="17FA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03" w:type="dxa"/>
            <w:vMerge w:val="continue"/>
            <w:noWrap w:val="0"/>
            <w:vAlign w:val="center"/>
          </w:tcPr>
          <w:p w14:paraId="3CCCE0A1">
            <w:pPr>
              <w:adjustRightInd w:val="0"/>
              <w:spacing w:line="360" w:lineRule="auto"/>
              <w:rPr>
                <w:color w:val="auto"/>
                <w:sz w:val="24"/>
                <w:szCs w:val="24"/>
              </w:rPr>
            </w:pPr>
          </w:p>
        </w:tc>
        <w:tc>
          <w:tcPr>
            <w:tcW w:w="1991" w:type="dxa"/>
            <w:vMerge w:val="continue"/>
            <w:noWrap w:val="0"/>
            <w:vAlign w:val="center"/>
          </w:tcPr>
          <w:p w14:paraId="25E5C800">
            <w:pPr>
              <w:adjustRightInd w:val="0"/>
              <w:spacing w:line="360" w:lineRule="auto"/>
              <w:rPr>
                <w:color w:val="auto"/>
                <w:sz w:val="24"/>
                <w:szCs w:val="24"/>
              </w:rPr>
            </w:pPr>
          </w:p>
        </w:tc>
        <w:tc>
          <w:tcPr>
            <w:tcW w:w="983" w:type="dxa"/>
            <w:noWrap w:val="0"/>
            <w:vAlign w:val="center"/>
          </w:tcPr>
          <w:p w14:paraId="1C8727B6">
            <w:pPr>
              <w:adjustRightInd w:val="0"/>
              <w:spacing w:line="360" w:lineRule="auto"/>
              <w:jc w:val="center"/>
              <w:rPr>
                <w:rFonts w:ascii="宋体" w:hAnsi="宋体" w:cs="宋体"/>
                <w:color w:val="auto"/>
                <w:sz w:val="24"/>
                <w:szCs w:val="24"/>
              </w:rPr>
            </w:pPr>
            <w:r>
              <w:rPr>
                <w:rFonts w:hint="eastAsia" w:ascii="黑体" w:hAnsi="黑体" w:eastAsia="黑体" w:cs="黑体"/>
                <w:color w:val="auto"/>
                <w:kern w:val="0"/>
                <w:sz w:val="24"/>
                <w:szCs w:val="24"/>
              </w:rPr>
              <w:t>补充说明事项</w:t>
            </w:r>
          </w:p>
        </w:tc>
        <w:tc>
          <w:tcPr>
            <w:tcW w:w="6428" w:type="dxa"/>
            <w:noWrap w:val="0"/>
            <w:vAlign w:val="center"/>
          </w:tcPr>
          <w:p w14:paraId="491AA167">
            <w:pPr>
              <w:adjustRightInd w:val="0"/>
              <w:spacing w:line="348" w:lineRule="auto"/>
              <w:rPr>
                <w:rFonts w:ascii="宋体" w:hAnsi="宋体" w:cs="宋体"/>
                <w:color w:val="auto"/>
                <w:sz w:val="24"/>
                <w:szCs w:val="24"/>
              </w:rPr>
            </w:pPr>
            <w:r>
              <w:rPr>
                <w:rFonts w:hint="eastAsia" w:ascii="宋体" w:hAnsi="宋体" w:cs="宋体"/>
                <w:color w:val="auto"/>
                <w:sz w:val="24"/>
                <w:szCs w:val="24"/>
              </w:rPr>
              <w:t>第一，若结算时采购人与</w:t>
            </w:r>
            <w:r>
              <w:rPr>
                <w:rFonts w:hint="eastAsia" w:ascii="宋体" w:hAnsi="宋体" w:cs="宋体"/>
                <w:bCs/>
                <w:color w:val="auto"/>
                <w:sz w:val="24"/>
                <w:szCs w:val="24"/>
              </w:rPr>
              <w:t>成交供应商</w:t>
            </w:r>
            <w:r>
              <w:rPr>
                <w:rFonts w:hint="eastAsia" w:ascii="宋体" w:hAnsi="宋体" w:cs="宋体"/>
                <w:color w:val="auto"/>
                <w:sz w:val="24"/>
                <w:szCs w:val="24"/>
              </w:rPr>
              <w:t>存在付款争议，待争议解决后再支付货款，付款手续按采购人单位财务相关规定进行。</w:t>
            </w:r>
          </w:p>
          <w:p w14:paraId="75294917">
            <w:pPr>
              <w:adjustRightInd w:val="0"/>
              <w:spacing w:line="348" w:lineRule="auto"/>
              <w:rPr>
                <w:rFonts w:ascii="宋体" w:hAnsi="宋体" w:cs="宋体"/>
                <w:color w:val="auto"/>
                <w:sz w:val="24"/>
                <w:szCs w:val="24"/>
              </w:rPr>
            </w:pPr>
            <w:r>
              <w:rPr>
                <w:rFonts w:hint="eastAsia" w:ascii="宋体" w:hAnsi="宋体" w:cs="宋体"/>
                <w:color w:val="auto"/>
                <w:sz w:val="24"/>
                <w:szCs w:val="24"/>
              </w:rPr>
              <w:t>第二，若成交供应商未提供符合规定的增值税发票等相关单据或资料不齐全、不符合约定的，采购人有权拒绝付款，因此导致迟延付款的责任及造成的采购人损失由成交供应商自行承担，且成交供应商不得因此拒绝履行合同，否则应按合同约定承担违约责任，同时，采购人有权将有关情况向学校计划财务处书面报告，对成交供应商依法进行惩戒和追究法律责任。</w:t>
            </w:r>
          </w:p>
          <w:p w14:paraId="6CB44624">
            <w:pPr>
              <w:adjustRightInd w:val="0"/>
              <w:spacing w:line="348" w:lineRule="auto"/>
              <w:rPr>
                <w:rFonts w:ascii="宋体" w:hAnsi="宋体" w:cs="宋体"/>
                <w:color w:val="auto"/>
                <w:sz w:val="24"/>
                <w:szCs w:val="24"/>
              </w:rPr>
            </w:pPr>
            <w:r>
              <w:rPr>
                <w:rFonts w:hint="eastAsia" w:ascii="宋体" w:hAnsi="宋体" w:cs="宋体"/>
                <w:color w:val="auto"/>
                <w:sz w:val="24"/>
                <w:szCs w:val="24"/>
              </w:rPr>
              <w:t>第三，若采购项目所属年度当年年底按照合同约定不能支付的（非采购人主观原因），采购人应及时告知成交供应商，并顺延至次年上级财政预算下达后继续支付相应款项。</w:t>
            </w:r>
          </w:p>
        </w:tc>
      </w:tr>
      <w:tr w14:paraId="2B96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03" w:type="dxa"/>
            <w:noWrap w:val="0"/>
            <w:vAlign w:val="center"/>
          </w:tcPr>
          <w:p w14:paraId="385C0C42">
            <w:pPr>
              <w:adjustRightInd w:val="0"/>
              <w:spacing w:line="320" w:lineRule="exact"/>
              <w:jc w:val="center"/>
              <w:rPr>
                <w:rFonts w:ascii="黑体" w:hAnsi="黑体" w:eastAsia="黑体" w:cs="黑体"/>
                <w:color w:val="auto"/>
                <w:kern w:val="0"/>
                <w:sz w:val="24"/>
                <w:szCs w:val="24"/>
                <w:lang w:val="zh-CN"/>
              </w:rPr>
            </w:pPr>
            <w:r>
              <w:rPr>
                <w:rFonts w:hint="eastAsia" w:ascii="黑体" w:hAnsi="黑体" w:eastAsia="黑体" w:cs="黑体"/>
                <w:color w:val="auto"/>
                <w:kern w:val="0"/>
                <w:sz w:val="24"/>
                <w:szCs w:val="24"/>
              </w:rPr>
              <w:t>6</w:t>
            </w:r>
          </w:p>
        </w:tc>
        <w:tc>
          <w:tcPr>
            <w:tcW w:w="1991" w:type="dxa"/>
            <w:noWrap w:val="0"/>
            <w:vAlign w:val="center"/>
          </w:tcPr>
          <w:p w14:paraId="7AD2496C">
            <w:pPr>
              <w:adjustRightInd w:val="0"/>
              <w:spacing w:line="500" w:lineRule="exact"/>
              <w:jc w:val="center"/>
              <w:rPr>
                <w:rFonts w:ascii="黑体" w:hAnsi="黑体" w:eastAsia="黑体" w:cs="黑体"/>
                <w:color w:val="auto"/>
                <w:kern w:val="0"/>
                <w:sz w:val="24"/>
                <w:szCs w:val="24"/>
                <w:lang w:val="zh-CN"/>
              </w:rPr>
            </w:pPr>
            <w:r>
              <w:rPr>
                <w:rFonts w:hint="eastAsia" w:ascii="黑体" w:hAnsi="黑体" w:eastAsia="黑体" w:cs="黑体"/>
                <w:color w:val="auto"/>
                <w:kern w:val="0"/>
                <w:sz w:val="24"/>
                <w:szCs w:val="24"/>
                <w:lang w:val="zh-CN"/>
              </w:rPr>
              <w:t>质量保修范围</w:t>
            </w:r>
          </w:p>
          <w:p w14:paraId="5AC0BF16">
            <w:pPr>
              <w:adjustRightInd w:val="0"/>
              <w:spacing w:line="500" w:lineRule="exact"/>
              <w:jc w:val="center"/>
              <w:rPr>
                <w:rFonts w:ascii="黑体" w:hAnsi="黑体" w:eastAsia="黑体" w:cs="黑体"/>
                <w:color w:val="auto"/>
                <w:kern w:val="0"/>
                <w:sz w:val="24"/>
                <w:szCs w:val="24"/>
                <w:lang w:val="zh-CN"/>
              </w:rPr>
            </w:pPr>
            <w:r>
              <w:rPr>
                <w:rFonts w:hint="eastAsia" w:ascii="黑体" w:hAnsi="黑体" w:eastAsia="黑体" w:cs="黑体"/>
                <w:color w:val="auto"/>
                <w:kern w:val="0"/>
                <w:sz w:val="24"/>
                <w:szCs w:val="24"/>
                <w:lang w:val="zh-CN"/>
              </w:rPr>
              <w:t>和保修期</w:t>
            </w:r>
          </w:p>
        </w:tc>
        <w:tc>
          <w:tcPr>
            <w:tcW w:w="7411" w:type="dxa"/>
            <w:gridSpan w:val="2"/>
            <w:noWrap w:val="0"/>
            <w:vAlign w:val="center"/>
          </w:tcPr>
          <w:p w14:paraId="4790FA16">
            <w:pPr>
              <w:spacing w:line="360" w:lineRule="auto"/>
              <w:rPr>
                <w:rFonts w:ascii="宋体" w:hAnsi="宋体" w:cs="宋体"/>
                <w:color w:val="auto"/>
                <w:sz w:val="24"/>
                <w:szCs w:val="24"/>
              </w:rPr>
            </w:pPr>
            <w:r>
              <w:rPr>
                <w:rFonts w:hint="eastAsia" w:ascii="宋体" w:hAnsi="宋体" w:cs="宋体"/>
                <w:color w:val="auto"/>
                <w:sz w:val="24"/>
                <w:szCs w:val="24"/>
                <w:lang w:val="zh-CN"/>
              </w:rPr>
              <w:t>第一</w:t>
            </w:r>
            <w:r>
              <w:rPr>
                <w:rFonts w:hint="eastAsia" w:ascii="宋体" w:hAnsi="宋体" w:cs="宋体"/>
                <w:color w:val="auto"/>
                <w:sz w:val="24"/>
                <w:szCs w:val="24"/>
              </w:rPr>
              <w:t>、</w:t>
            </w:r>
            <w:r>
              <w:rPr>
                <w:rFonts w:hint="eastAsia" w:ascii="宋体" w:hAnsi="宋体" w:eastAsia="宋体" w:cs="宋体"/>
                <w:color w:val="auto"/>
                <w:kern w:val="0"/>
                <w:sz w:val="24"/>
                <w:szCs w:val="24"/>
              </w:rPr>
              <w:t>本项目</w:t>
            </w:r>
            <w:r>
              <w:rPr>
                <w:rFonts w:hint="eastAsia" w:ascii="宋体" w:hAnsi="宋体" w:eastAsia="宋体" w:cs="宋体"/>
                <w:color w:val="auto"/>
                <w:kern w:val="0"/>
                <w:sz w:val="24"/>
                <w:szCs w:val="24"/>
                <w:lang w:val="zh-CN"/>
              </w:rPr>
              <w:t>质保</w:t>
            </w:r>
            <w:r>
              <w:rPr>
                <w:rFonts w:hint="eastAsia" w:ascii="宋体" w:hAnsi="宋体" w:eastAsia="宋体" w:cs="宋体"/>
                <w:color w:val="auto"/>
                <w:kern w:val="0"/>
                <w:sz w:val="24"/>
                <w:szCs w:val="24"/>
              </w:rPr>
              <w:t>期</w:t>
            </w:r>
            <w:r>
              <w:rPr>
                <w:rFonts w:hint="eastAsia" w:ascii="宋体" w:hAnsi="宋体" w:eastAsia="宋体" w:cs="宋体"/>
                <w:color w:val="auto"/>
                <w:kern w:val="0"/>
                <w:sz w:val="24"/>
                <w:szCs w:val="24"/>
                <w:lang w:val="zh-CN"/>
              </w:rPr>
              <w:t>为</w:t>
            </w:r>
            <w:r>
              <w:rPr>
                <w:rFonts w:hint="eastAsia" w:ascii="宋体" w:hAnsi="宋体" w:eastAsia="宋体" w:cs="宋体"/>
                <w:color w:val="auto"/>
                <w:kern w:val="0"/>
                <w:sz w:val="24"/>
                <w:szCs w:val="24"/>
                <w:u w:val="single"/>
              </w:rPr>
              <w:t xml:space="preserve"> 12 </w:t>
            </w:r>
            <w:r>
              <w:rPr>
                <w:rFonts w:ascii="Times New Roman" w:hAnsi="Times New Roman" w:eastAsia="宋体" w:cs="Times New Roman"/>
                <w:color w:val="auto"/>
                <w:kern w:val="0"/>
                <w:sz w:val="24"/>
                <w:szCs w:val="24"/>
                <w:lang w:val="zh-CN"/>
              </w:rPr>
              <w:t>个月，自</w:t>
            </w:r>
            <w:r>
              <w:rPr>
                <w:rFonts w:ascii="Times New Roman" w:hAnsi="Times New Roman" w:eastAsia="宋体" w:cs="Times New Roman"/>
                <w:color w:val="auto"/>
                <w:kern w:val="0"/>
                <w:sz w:val="24"/>
                <w:szCs w:val="24"/>
              </w:rPr>
              <w:t>采购人自行组织的履约</w:t>
            </w:r>
            <w:r>
              <w:rPr>
                <w:rFonts w:ascii="Times New Roman" w:hAnsi="Times New Roman" w:eastAsia="宋体" w:cs="Times New Roman"/>
                <w:color w:val="auto"/>
                <w:kern w:val="0"/>
                <w:sz w:val="24"/>
                <w:szCs w:val="24"/>
                <w:lang w:val="zh-CN"/>
              </w:rPr>
              <w:t>验收</w:t>
            </w:r>
            <w:r>
              <w:rPr>
                <w:rFonts w:ascii="Times New Roman" w:hAnsi="Times New Roman" w:eastAsia="宋体" w:cs="Times New Roman"/>
                <w:color w:val="auto"/>
                <w:kern w:val="0"/>
                <w:sz w:val="24"/>
                <w:szCs w:val="24"/>
              </w:rPr>
              <w:t>合格之</w:t>
            </w:r>
            <w:r>
              <w:rPr>
                <w:rFonts w:ascii="Times New Roman" w:hAnsi="Times New Roman" w:eastAsia="宋体" w:cs="Times New Roman"/>
                <w:color w:val="auto"/>
                <w:kern w:val="0"/>
                <w:sz w:val="24"/>
                <w:szCs w:val="24"/>
                <w:lang w:val="zh-CN"/>
              </w:rPr>
              <w:t>日算起。</w:t>
            </w:r>
            <w:r>
              <w:rPr>
                <w:rFonts w:hint="eastAsia" w:ascii="宋体" w:hAnsi="宋体" w:cs="宋体"/>
                <w:color w:val="auto"/>
                <w:sz w:val="24"/>
                <w:szCs w:val="24"/>
              </w:rPr>
              <w:t>在质保期内，成交供应商须为采购人提供</w:t>
            </w:r>
            <w:r>
              <w:rPr>
                <w:rFonts w:ascii="Times New Roman" w:hAnsi="Times New Roman" w:eastAsia="宋体" w:cs="Times New Roman"/>
                <w:color w:val="auto"/>
                <w:kern w:val="0"/>
                <w:sz w:val="24"/>
                <w:szCs w:val="24"/>
                <w:lang w:val="zh-CN"/>
              </w:rPr>
              <w:t>7×24小时的技术支持服务</w:t>
            </w:r>
            <w:r>
              <w:rPr>
                <w:rFonts w:hint="eastAsia" w:ascii="Times New Roman" w:hAnsi="Times New Roman" w:eastAsia="宋体" w:cs="Times New Roman"/>
                <w:color w:val="auto"/>
                <w:kern w:val="0"/>
                <w:sz w:val="24"/>
                <w:szCs w:val="24"/>
                <w:lang w:val="zh-CN"/>
              </w:rPr>
              <w:t>，</w:t>
            </w:r>
            <w:r>
              <w:rPr>
                <w:rFonts w:hint="eastAsia" w:ascii="Times New Roman" w:hAnsi="Times New Roman" w:eastAsia="宋体" w:cs="Times New Roman"/>
                <w:color w:val="auto"/>
                <w:kern w:val="0"/>
                <w:sz w:val="24"/>
                <w:szCs w:val="24"/>
              </w:rPr>
              <w:t>如采购人遇到</w:t>
            </w:r>
            <w:r>
              <w:rPr>
                <w:rFonts w:hint="eastAsia" w:ascii="宋体" w:hAnsi="宋体" w:cs="宋体"/>
                <w:color w:val="auto"/>
                <w:sz w:val="24"/>
                <w:szCs w:val="24"/>
              </w:rPr>
              <w:t>因成交供应商服务缺陷导致的各种影响自身正常使用的故障或质量问题，可及时通知成交供应商提供质保服务。成交供应商须在接到采购人的质保服务通知后</w:t>
            </w:r>
            <w:r>
              <w:rPr>
                <w:rFonts w:ascii="Times New Roman" w:hAnsi="Times New Roman" w:eastAsia="宋体" w:cs="Times New Roman"/>
                <w:color w:val="auto"/>
                <w:kern w:val="0"/>
                <w:sz w:val="24"/>
                <w:szCs w:val="24"/>
              </w:rPr>
              <w:t>60</w:t>
            </w:r>
            <w:r>
              <w:rPr>
                <w:rFonts w:ascii="Times New Roman" w:hAnsi="Times New Roman" w:eastAsia="宋体" w:cs="Times New Roman"/>
                <w:color w:val="auto"/>
                <w:kern w:val="0"/>
                <w:sz w:val="24"/>
                <w:szCs w:val="24"/>
                <w:lang w:val="zh-CN"/>
              </w:rPr>
              <w:t>分钟</w:t>
            </w:r>
            <w:r>
              <w:rPr>
                <w:rFonts w:ascii="Times New Roman" w:hAnsi="Times New Roman" w:eastAsia="宋体" w:cs="Times New Roman"/>
                <w:color w:val="auto"/>
                <w:kern w:val="0"/>
                <w:sz w:val="24"/>
                <w:szCs w:val="24"/>
              </w:rPr>
              <w:t>内</w:t>
            </w:r>
            <w:r>
              <w:rPr>
                <w:rFonts w:ascii="Times New Roman" w:hAnsi="Times New Roman" w:eastAsia="宋体" w:cs="Times New Roman"/>
                <w:color w:val="auto"/>
                <w:kern w:val="0"/>
                <w:sz w:val="24"/>
                <w:szCs w:val="24"/>
                <w:lang w:val="zh-CN"/>
              </w:rPr>
              <w:t>电话响应，一般性</w:t>
            </w:r>
            <w:r>
              <w:rPr>
                <w:rFonts w:hint="eastAsia" w:ascii="Times New Roman" w:hAnsi="Times New Roman" w:eastAsia="宋体" w:cs="Times New Roman"/>
                <w:color w:val="auto"/>
                <w:kern w:val="0"/>
                <w:sz w:val="24"/>
                <w:szCs w:val="24"/>
              </w:rPr>
              <w:t>问题</w:t>
            </w:r>
            <w:r>
              <w:rPr>
                <w:rFonts w:ascii="Times New Roman" w:hAnsi="Times New Roman" w:eastAsia="宋体" w:cs="Times New Roman"/>
                <w:color w:val="auto"/>
                <w:kern w:val="0"/>
                <w:sz w:val="24"/>
                <w:szCs w:val="24"/>
                <w:lang w:val="zh-CN"/>
              </w:rPr>
              <w:t>在8小时内提供解决方案</w:t>
            </w:r>
            <w:r>
              <w:rPr>
                <w:rFonts w:hint="eastAsia" w:ascii="Times New Roman" w:hAnsi="Times New Roman" w:eastAsia="宋体" w:cs="Times New Roman"/>
                <w:color w:val="auto"/>
                <w:kern w:val="0"/>
                <w:sz w:val="24"/>
                <w:szCs w:val="24"/>
              </w:rPr>
              <w:t>和</w:t>
            </w:r>
            <w:r>
              <w:rPr>
                <w:rFonts w:hint="eastAsia" w:ascii="宋体" w:hAnsi="宋体" w:eastAsia="宋体" w:cs="宋体"/>
                <w:color w:val="auto"/>
                <w:kern w:val="0"/>
                <w:sz w:val="24"/>
                <w:szCs w:val="24"/>
                <w:lang w:val="zh-CN"/>
              </w:rPr>
              <w:t>远程指导</w:t>
            </w:r>
            <w:r>
              <w:rPr>
                <w:rFonts w:ascii="Times New Roman" w:hAnsi="Times New Roman" w:eastAsia="宋体" w:cs="Times New Roman"/>
                <w:color w:val="auto"/>
                <w:kern w:val="0"/>
                <w:sz w:val="24"/>
                <w:szCs w:val="24"/>
                <w:lang w:val="zh-CN"/>
              </w:rPr>
              <w:t>，复杂性问题在24小时内提供解决方案</w:t>
            </w:r>
            <w:r>
              <w:rPr>
                <w:rFonts w:hint="eastAsia" w:ascii="Times New Roman" w:hAnsi="Times New Roman" w:eastAsia="宋体" w:cs="Times New Roman"/>
                <w:color w:val="auto"/>
                <w:kern w:val="0"/>
                <w:sz w:val="24"/>
                <w:szCs w:val="24"/>
              </w:rPr>
              <w:t>和</w:t>
            </w:r>
            <w:r>
              <w:rPr>
                <w:rFonts w:hint="eastAsia" w:ascii="宋体" w:hAnsi="宋体" w:eastAsia="宋体" w:cs="宋体"/>
                <w:color w:val="auto"/>
                <w:kern w:val="0"/>
                <w:sz w:val="24"/>
                <w:szCs w:val="24"/>
                <w:lang w:val="zh-CN"/>
              </w:rPr>
              <w:t>远程指导</w:t>
            </w:r>
            <w:r>
              <w:rPr>
                <w:rFonts w:ascii="Times New Roman" w:hAnsi="Times New Roman" w:eastAsia="宋体" w:cs="Times New Roman"/>
                <w:color w:val="auto"/>
                <w:kern w:val="0"/>
                <w:sz w:val="24"/>
                <w:szCs w:val="24"/>
                <w:lang w:val="zh-CN"/>
              </w:rPr>
              <w:t>。</w:t>
            </w:r>
          </w:p>
          <w:p w14:paraId="7449C90B">
            <w:pPr>
              <w:spacing w:line="360" w:lineRule="auto"/>
              <w:rPr>
                <w:rFonts w:ascii="宋体" w:hAnsi="宋体" w:eastAsia="宋体" w:cs="宋体"/>
                <w:color w:val="auto"/>
                <w:kern w:val="0"/>
                <w:sz w:val="24"/>
                <w:szCs w:val="24"/>
                <w:lang w:val="zh-CN"/>
              </w:rPr>
            </w:pPr>
            <w:r>
              <w:rPr>
                <w:rFonts w:hint="eastAsia" w:ascii="宋体" w:hAnsi="宋体" w:cs="宋体"/>
                <w:color w:val="auto"/>
                <w:sz w:val="24"/>
                <w:szCs w:val="24"/>
              </w:rPr>
              <w:t>第二，</w:t>
            </w:r>
            <w:r>
              <w:rPr>
                <w:rFonts w:hint="eastAsia" w:ascii="宋体" w:hAnsi="宋体" w:eastAsia="宋体" w:cs="宋体"/>
                <w:color w:val="auto"/>
                <w:kern w:val="0"/>
                <w:sz w:val="24"/>
                <w:szCs w:val="24"/>
              </w:rPr>
              <w:t>在质保期内，若采购人依据</w:t>
            </w:r>
            <w:r>
              <w:rPr>
                <w:rFonts w:hint="eastAsia" w:ascii="Times New Roman" w:hAnsi="Times New Roman" w:eastAsia="宋体" w:cs="Times New Roman"/>
                <w:color w:val="auto"/>
                <w:sz w:val="24"/>
                <w:szCs w:val="24"/>
              </w:rPr>
              <w:t>成交供应商</w:t>
            </w:r>
            <w:r>
              <w:rPr>
                <w:rFonts w:hint="eastAsia" w:ascii="宋体" w:hAnsi="宋体" w:eastAsia="宋体" w:cs="宋体"/>
                <w:color w:val="auto"/>
                <w:kern w:val="0"/>
                <w:sz w:val="24"/>
                <w:szCs w:val="24"/>
              </w:rPr>
              <w:t>提供的解决方案和</w:t>
            </w:r>
            <w:r>
              <w:rPr>
                <w:rFonts w:hint="eastAsia" w:ascii="宋体" w:hAnsi="宋体" w:eastAsia="宋体" w:cs="宋体"/>
                <w:color w:val="auto"/>
                <w:kern w:val="0"/>
                <w:sz w:val="24"/>
                <w:szCs w:val="24"/>
                <w:lang w:val="zh-CN"/>
              </w:rPr>
              <w:t>远程指导</w:t>
            </w:r>
            <w:r>
              <w:rPr>
                <w:rFonts w:hint="eastAsia" w:ascii="宋体" w:hAnsi="宋体" w:eastAsia="宋体" w:cs="宋体"/>
                <w:color w:val="auto"/>
                <w:kern w:val="0"/>
                <w:sz w:val="24"/>
                <w:szCs w:val="24"/>
              </w:rPr>
              <w:t>均无法自行解决故障或质量问题的，可要求</w:t>
            </w:r>
            <w:r>
              <w:rPr>
                <w:rFonts w:hint="eastAsia" w:ascii="Times New Roman" w:hAnsi="Times New Roman" w:eastAsia="宋体" w:cs="Times New Roman"/>
                <w:color w:val="auto"/>
                <w:sz w:val="24"/>
                <w:szCs w:val="24"/>
              </w:rPr>
              <w:t>成交供应商</w:t>
            </w:r>
            <w:r>
              <w:rPr>
                <w:rFonts w:hint="eastAsia" w:ascii="宋体" w:hAnsi="宋体" w:eastAsia="宋体" w:cs="宋体"/>
                <w:color w:val="auto"/>
                <w:kern w:val="0"/>
                <w:sz w:val="24"/>
                <w:szCs w:val="24"/>
              </w:rPr>
              <w:t>现场解决故障或质量问题。成交供应商在收到采购人通知后</w:t>
            </w:r>
            <w:r>
              <w:rPr>
                <w:rFonts w:hint="eastAsia" w:ascii="Times New Roman" w:hAnsi="Times New Roman" w:eastAsia="宋体" w:cs="Times New Roman"/>
                <w:color w:val="auto"/>
                <w:kern w:val="0"/>
                <w:sz w:val="24"/>
                <w:szCs w:val="24"/>
              </w:rPr>
              <w:t>48</w:t>
            </w:r>
            <w:r>
              <w:rPr>
                <w:rFonts w:hint="eastAsia" w:ascii="宋体" w:hAnsi="宋体" w:eastAsia="宋体" w:cs="宋体"/>
                <w:color w:val="auto"/>
                <w:kern w:val="0"/>
                <w:sz w:val="24"/>
                <w:szCs w:val="24"/>
              </w:rPr>
              <w:t>小时内应及时</w:t>
            </w:r>
            <w:r>
              <w:rPr>
                <w:rFonts w:hint="eastAsia" w:ascii="宋体" w:hAnsi="宋体" w:eastAsia="宋体" w:cs="宋体"/>
                <w:color w:val="auto"/>
                <w:kern w:val="0"/>
                <w:sz w:val="24"/>
                <w:szCs w:val="24"/>
                <w:lang w:val="zh-CN"/>
              </w:rPr>
              <w:t>指派</w:t>
            </w:r>
            <w:r>
              <w:rPr>
                <w:rFonts w:hint="eastAsia" w:ascii="宋体" w:hAnsi="宋体" w:eastAsia="宋体" w:cs="宋体"/>
                <w:color w:val="auto"/>
                <w:kern w:val="0"/>
                <w:sz w:val="24"/>
                <w:szCs w:val="24"/>
              </w:rPr>
              <w:t>专业技术人员赴采购人指定</w:t>
            </w:r>
            <w:r>
              <w:rPr>
                <w:rFonts w:hint="eastAsia" w:ascii="宋体" w:hAnsi="宋体" w:eastAsia="宋体" w:cs="宋体"/>
                <w:color w:val="auto"/>
                <w:kern w:val="0"/>
                <w:sz w:val="24"/>
                <w:szCs w:val="24"/>
                <w:lang w:val="zh-CN"/>
              </w:rPr>
              <w:t>现场解决</w:t>
            </w:r>
            <w:r>
              <w:rPr>
                <w:rFonts w:hint="eastAsia" w:ascii="宋体" w:hAnsi="宋体" w:eastAsia="宋体" w:cs="宋体"/>
                <w:color w:val="auto"/>
                <w:kern w:val="0"/>
                <w:sz w:val="24"/>
                <w:szCs w:val="24"/>
              </w:rPr>
              <w:t>故障或质量问题</w:t>
            </w:r>
            <w:r>
              <w:rPr>
                <w:rFonts w:hint="eastAsia" w:ascii="宋体" w:hAnsi="宋体" w:eastAsia="宋体" w:cs="宋体"/>
                <w:color w:val="auto"/>
                <w:kern w:val="0"/>
                <w:sz w:val="24"/>
                <w:szCs w:val="24"/>
                <w:lang w:val="zh-CN"/>
              </w:rPr>
              <w:t>，</w:t>
            </w:r>
            <w:r>
              <w:rPr>
                <w:rFonts w:hint="eastAsia" w:ascii="宋体" w:hAnsi="宋体" w:cs="宋体"/>
                <w:color w:val="auto"/>
                <w:sz w:val="24"/>
                <w:szCs w:val="24"/>
              </w:rPr>
              <w:t>并由</w:t>
            </w:r>
            <w:r>
              <w:rPr>
                <w:rFonts w:hint="eastAsia" w:ascii="宋体" w:hAnsi="宋体" w:eastAsia="宋体" w:cs="宋体"/>
                <w:color w:val="auto"/>
                <w:kern w:val="0"/>
                <w:sz w:val="24"/>
                <w:szCs w:val="24"/>
              </w:rPr>
              <w:t>成交供应商</w:t>
            </w:r>
            <w:r>
              <w:rPr>
                <w:rFonts w:hint="eastAsia" w:ascii="宋体" w:hAnsi="宋体" w:cs="宋体"/>
                <w:color w:val="auto"/>
                <w:sz w:val="24"/>
                <w:szCs w:val="24"/>
              </w:rPr>
              <w:t>自行承担由此发生的所有费用</w:t>
            </w:r>
            <w:r>
              <w:rPr>
                <w:rFonts w:hint="eastAsia" w:ascii="宋体" w:hAnsi="宋体" w:eastAsia="宋体" w:cs="宋体"/>
                <w:color w:val="auto"/>
                <w:kern w:val="0"/>
                <w:sz w:val="24"/>
                <w:szCs w:val="24"/>
                <w:lang w:val="zh-CN"/>
              </w:rPr>
              <w:t>。</w:t>
            </w:r>
          </w:p>
          <w:p w14:paraId="06ACC43F">
            <w:pPr>
              <w:spacing w:line="360" w:lineRule="auto"/>
              <w:jc w:val="left"/>
              <w:rPr>
                <w:rFonts w:ascii="Times New Roman" w:hAnsi="Times New Roman" w:eastAsia="宋体" w:cs="Times New Roman"/>
                <w:color w:val="auto"/>
                <w:kern w:val="0"/>
                <w:sz w:val="24"/>
                <w:szCs w:val="24"/>
                <w:lang w:val="zh-CN"/>
              </w:rPr>
            </w:pPr>
            <w:r>
              <w:rPr>
                <w:rFonts w:hint="eastAsia" w:ascii="宋体" w:hAnsi="宋体" w:cs="宋体"/>
                <w:color w:val="auto"/>
                <w:sz w:val="24"/>
                <w:szCs w:val="24"/>
              </w:rPr>
              <w:t>第三，在质保期内，</w:t>
            </w:r>
            <w:r>
              <w:rPr>
                <w:rFonts w:hint="eastAsia" w:ascii="宋体" w:hAnsi="宋体" w:eastAsia="宋体" w:cs="宋体"/>
                <w:color w:val="auto"/>
                <w:kern w:val="0"/>
                <w:sz w:val="24"/>
                <w:szCs w:val="24"/>
              </w:rPr>
              <w:t>成交供应商</w:t>
            </w:r>
            <w:r>
              <w:rPr>
                <w:rFonts w:hint="eastAsia" w:ascii="宋体" w:hAnsi="宋体" w:cs="宋体"/>
                <w:color w:val="auto"/>
                <w:sz w:val="24"/>
                <w:szCs w:val="24"/>
              </w:rPr>
              <w:t>提</w:t>
            </w:r>
            <w:r>
              <w:rPr>
                <w:rFonts w:ascii="Times New Roman" w:hAnsi="Times New Roman" w:eastAsia="宋体" w:cs="Times New Roman"/>
                <w:color w:val="auto"/>
                <w:kern w:val="0"/>
                <w:sz w:val="24"/>
                <w:szCs w:val="24"/>
                <w:lang w:val="zh-CN"/>
              </w:rPr>
              <w:t>供</w:t>
            </w:r>
            <w:r>
              <w:rPr>
                <w:rFonts w:hint="eastAsia" w:ascii="Times New Roman" w:hAnsi="Times New Roman" w:eastAsia="宋体" w:cs="Times New Roman"/>
                <w:color w:val="auto"/>
                <w:kern w:val="0"/>
                <w:sz w:val="24"/>
                <w:szCs w:val="24"/>
              </w:rPr>
              <w:t>的</w:t>
            </w:r>
            <w:r>
              <w:rPr>
                <w:rFonts w:ascii="Times New Roman" w:hAnsi="Times New Roman" w:eastAsia="宋体" w:cs="Times New Roman"/>
                <w:color w:val="auto"/>
                <w:kern w:val="0"/>
                <w:sz w:val="24"/>
                <w:szCs w:val="24"/>
                <w:lang w:val="zh-CN"/>
              </w:rPr>
              <w:t>解决方案</w:t>
            </w:r>
            <w:r>
              <w:rPr>
                <w:rFonts w:hint="eastAsia" w:ascii="Times New Roman" w:hAnsi="Times New Roman" w:eastAsia="宋体" w:cs="Times New Roman"/>
                <w:color w:val="auto"/>
                <w:kern w:val="0"/>
                <w:sz w:val="24"/>
                <w:szCs w:val="24"/>
              </w:rPr>
              <w:t>和</w:t>
            </w:r>
            <w:r>
              <w:rPr>
                <w:rFonts w:hint="eastAsia" w:ascii="宋体" w:hAnsi="宋体" w:eastAsia="宋体" w:cs="宋体"/>
                <w:color w:val="auto"/>
                <w:kern w:val="0"/>
                <w:sz w:val="24"/>
                <w:szCs w:val="24"/>
                <w:lang w:val="zh-CN"/>
              </w:rPr>
              <w:t>远程指导</w:t>
            </w:r>
            <w:r>
              <w:rPr>
                <w:rFonts w:hint="eastAsia" w:ascii="宋体" w:hAnsi="宋体" w:eastAsia="宋体" w:cs="宋体"/>
                <w:color w:val="auto"/>
                <w:kern w:val="0"/>
                <w:sz w:val="24"/>
                <w:szCs w:val="24"/>
              </w:rPr>
              <w:t>或者</w:t>
            </w:r>
            <w:r>
              <w:rPr>
                <w:rFonts w:hint="eastAsia" w:ascii="宋体" w:hAnsi="宋体" w:eastAsia="宋体" w:cs="宋体"/>
                <w:color w:val="auto"/>
                <w:kern w:val="0"/>
                <w:sz w:val="24"/>
                <w:szCs w:val="24"/>
                <w:lang w:val="zh-CN"/>
              </w:rPr>
              <w:t>指派</w:t>
            </w:r>
            <w:r>
              <w:rPr>
                <w:rFonts w:hint="eastAsia" w:ascii="宋体" w:hAnsi="宋体" w:eastAsia="宋体" w:cs="宋体"/>
                <w:color w:val="auto"/>
                <w:kern w:val="0"/>
                <w:sz w:val="24"/>
                <w:szCs w:val="24"/>
              </w:rPr>
              <w:t>专业技术人员赴采购人指定</w:t>
            </w:r>
            <w:r>
              <w:rPr>
                <w:rFonts w:hint="eastAsia" w:ascii="宋体" w:hAnsi="宋体" w:eastAsia="宋体" w:cs="宋体"/>
                <w:color w:val="auto"/>
                <w:kern w:val="0"/>
                <w:sz w:val="24"/>
                <w:szCs w:val="24"/>
                <w:lang w:val="zh-CN"/>
              </w:rPr>
              <w:t>现场，</w:t>
            </w:r>
            <w:r>
              <w:rPr>
                <w:rFonts w:hint="eastAsia" w:ascii="宋体" w:hAnsi="宋体" w:eastAsia="宋体" w:cs="宋体"/>
                <w:color w:val="auto"/>
                <w:kern w:val="0"/>
                <w:sz w:val="24"/>
                <w:szCs w:val="24"/>
              </w:rPr>
              <w:t>仍然无法解决故障或质量问题的，成交供应商须依据</w:t>
            </w:r>
            <w:r>
              <w:rPr>
                <w:rFonts w:hint="eastAsia" w:ascii="宋体" w:hAnsi="宋体" w:cs="宋体"/>
                <w:color w:val="auto"/>
                <w:sz w:val="24"/>
                <w:szCs w:val="24"/>
              </w:rPr>
              <w:t>本项目合同条款、技术服务协议为采购人重新提供完整的服务，该服务的质保期须重新计算，原质保期内成交供应商责任义务须重新履行。</w:t>
            </w:r>
          </w:p>
          <w:p w14:paraId="4745D726">
            <w:pPr>
              <w:adjustRightInd w:val="0"/>
              <w:spacing w:line="360" w:lineRule="auto"/>
              <w:rPr>
                <w:rFonts w:ascii="宋体" w:hAnsi="宋体" w:eastAsia="宋体" w:cs="宋体"/>
                <w:color w:val="auto"/>
                <w:kern w:val="0"/>
                <w:sz w:val="24"/>
                <w:szCs w:val="24"/>
              </w:rPr>
            </w:pPr>
            <w:r>
              <w:rPr>
                <w:rFonts w:hint="eastAsia" w:ascii="宋体" w:hAnsi="宋体" w:cs="宋体"/>
                <w:color w:val="auto"/>
                <w:sz w:val="24"/>
                <w:szCs w:val="24"/>
              </w:rPr>
              <w:t>第四，若</w:t>
            </w:r>
            <w:r>
              <w:rPr>
                <w:rFonts w:hint="eastAsia" w:ascii="宋体" w:hAnsi="宋体" w:eastAsia="宋体" w:cs="宋体"/>
                <w:color w:val="auto"/>
                <w:kern w:val="0"/>
                <w:sz w:val="24"/>
                <w:szCs w:val="24"/>
              </w:rPr>
              <w:t>成交供应商拒绝向采购人</w:t>
            </w:r>
            <w:r>
              <w:rPr>
                <w:rFonts w:hint="eastAsia" w:ascii="宋体" w:hAnsi="宋体" w:cs="宋体"/>
                <w:color w:val="auto"/>
                <w:sz w:val="24"/>
                <w:szCs w:val="24"/>
              </w:rPr>
              <w:t>重新提供完整的服务或者</w:t>
            </w:r>
            <w:r>
              <w:rPr>
                <w:rFonts w:hint="eastAsia" w:ascii="宋体" w:hAnsi="宋体" w:eastAsia="宋体" w:cs="宋体"/>
                <w:color w:val="auto"/>
                <w:kern w:val="0"/>
                <w:sz w:val="24"/>
                <w:szCs w:val="24"/>
              </w:rPr>
              <w:t>向采购人</w:t>
            </w:r>
            <w:r>
              <w:rPr>
                <w:rFonts w:hint="eastAsia" w:ascii="宋体" w:hAnsi="宋体" w:cs="宋体"/>
                <w:color w:val="auto"/>
                <w:sz w:val="24"/>
                <w:szCs w:val="24"/>
              </w:rPr>
              <w:t>重新提供完整的服务在新的质保期内再次出现</w:t>
            </w:r>
            <w:r>
              <w:rPr>
                <w:rFonts w:hint="eastAsia" w:ascii="宋体" w:hAnsi="宋体" w:eastAsia="宋体" w:cs="宋体"/>
                <w:color w:val="auto"/>
                <w:kern w:val="0"/>
                <w:sz w:val="24"/>
                <w:szCs w:val="24"/>
              </w:rPr>
              <w:t>故障或质量问题的，</w:t>
            </w:r>
            <w:r>
              <w:rPr>
                <w:rFonts w:hint="eastAsia" w:ascii="宋体" w:hAnsi="宋体" w:cs="宋体"/>
                <w:color w:val="auto"/>
                <w:sz w:val="24"/>
                <w:szCs w:val="24"/>
              </w:rPr>
              <w:t>采购人将追究成交供应商的违约责任，成交供应商应承担全部合同价赔偿责任，全额退还采购人本项目采购资金。</w:t>
            </w:r>
          </w:p>
          <w:p w14:paraId="1BFAC239">
            <w:pPr>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第五，</w:t>
            </w:r>
            <w:r>
              <w:rPr>
                <w:rFonts w:hint="eastAsia" w:ascii="宋体" w:hAnsi="宋体" w:eastAsia="宋体" w:cs="宋体"/>
                <w:color w:val="auto"/>
                <w:kern w:val="0"/>
                <w:sz w:val="24"/>
                <w:szCs w:val="24"/>
                <w:lang w:val="zh-CN"/>
              </w:rPr>
              <w:t>质保期内产生的</w:t>
            </w:r>
            <w:r>
              <w:rPr>
                <w:rFonts w:hint="eastAsia" w:ascii="宋体" w:hAnsi="宋体" w:eastAsia="宋体" w:cs="宋体"/>
                <w:color w:val="auto"/>
                <w:kern w:val="0"/>
                <w:sz w:val="24"/>
                <w:szCs w:val="24"/>
              </w:rPr>
              <w:t>远程支持服务、</w:t>
            </w:r>
            <w:r>
              <w:rPr>
                <w:rFonts w:hint="eastAsia" w:ascii="宋体" w:hAnsi="宋体" w:cs="宋体"/>
                <w:color w:val="auto"/>
                <w:sz w:val="24"/>
                <w:szCs w:val="24"/>
              </w:rPr>
              <w:t>现场硬件更换服务、</w:t>
            </w:r>
            <w:r>
              <w:rPr>
                <w:rFonts w:hint="eastAsia" w:ascii="宋体" w:hAnsi="宋体" w:eastAsia="宋体" w:cs="宋体"/>
                <w:color w:val="auto"/>
                <w:kern w:val="0"/>
                <w:sz w:val="24"/>
                <w:szCs w:val="24"/>
                <w:lang w:val="zh-CN"/>
              </w:rPr>
              <w:t>设备（货物）</w:t>
            </w:r>
            <w:r>
              <w:rPr>
                <w:rFonts w:hint="eastAsia" w:ascii="宋体" w:hAnsi="宋体" w:eastAsia="宋体" w:cs="宋体"/>
                <w:color w:val="auto"/>
                <w:kern w:val="0"/>
                <w:sz w:val="24"/>
                <w:szCs w:val="24"/>
              </w:rPr>
              <w:t>维修、更换以及相关人工、运输、包装等所有</w:t>
            </w:r>
            <w:r>
              <w:rPr>
                <w:rFonts w:hint="eastAsia" w:ascii="宋体" w:hAnsi="宋体" w:eastAsia="宋体" w:cs="宋体"/>
                <w:color w:val="auto"/>
                <w:kern w:val="0"/>
                <w:sz w:val="24"/>
                <w:szCs w:val="24"/>
                <w:lang w:val="zh-CN"/>
              </w:rPr>
              <w:t>费用，</w:t>
            </w:r>
            <w:r>
              <w:rPr>
                <w:rFonts w:hint="eastAsia" w:ascii="宋体" w:hAnsi="宋体" w:eastAsia="宋体" w:cs="宋体"/>
                <w:color w:val="auto"/>
                <w:kern w:val="0"/>
                <w:sz w:val="24"/>
                <w:szCs w:val="24"/>
              </w:rPr>
              <w:t>均</w:t>
            </w:r>
            <w:r>
              <w:rPr>
                <w:rFonts w:hint="eastAsia" w:ascii="宋体" w:hAnsi="宋体" w:eastAsia="宋体" w:cs="宋体"/>
                <w:color w:val="auto"/>
                <w:kern w:val="0"/>
                <w:sz w:val="24"/>
                <w:szCs w:val="24"/>
                <w:lang w:val="zh-CN"/>
              </w:rPr>
              <w:t>由</w:t>
            </w:r>
            <w:r>
              <w:rPr>
                <w:rFonts w:hint="eastAsia" w:ascii="宋体" w:hAnsi="宋体" w:eastAsia="宋体" w:cs="宋体"/>
                <w:color w:val="auto"/>
                <w:kern w:val="0"/>
                <w:sz w:val="24"/>
                <w:szCs w:val="24"/>
              </w:rPr>
              <w:t>成交供应商</w:t>
            </w:r>
            <w:r>
              <w:rPr>
                <w:rFonts w:hint="eastAsia" w:ascii="宋体" w:hAnsi="宋体" w:eastAsia="宋体" w:cs="宋体"/>
                <w:color w:val="auto"/>
                <w:kern w:val="0"/>
                <w:sz w:val="24"/>
                <w:szCs w:val="24"/>
                <w:lang w:val="zh-CN"/>
              </w:rPr>
              <w:t>自行考虑在</w:t>
            </w:r>
            <w:r>
              <w:rPr>
                <w:rFonts w:hint="eastAsia" w:ascii="宋体" w:hAnsi="宋体" w:eastAsia="宋体" w:cs="宋体"/>
                <w:color w:val="auto"/>
                <w:kern w:val="0"/>
                <w:sz w:val="24"/>
                <w:szCs w:val="24"/>
              </w:rPr>
              <w:t>响应（</w:t>
            </w:r>
            <w:r>
              <w:rPr>
                <w:rFonts w:hint="eastAsia" w:ascii="宋体" w:hAnsi="宋体" w:eastAsia="宋体" w:cs="宋体"/>
                <w:color w:val="auto"/>
                <w:kern w:val="0"/>
                <w:sz w:val="24"/>
                <w:szCs w:val="24"/>
                <w:lang w:val="zh-CN"/>
              </w:rPr>
              <w:t>投标</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报价中，采购人不再另行支付其他费用。</w:t>
            </w:r>
          </w:p>
          <w:p w14:paraId="11328DF3">
            <w:pPr>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注：上述所述“质保期”是以采购人向成交供应商提出故障或质量问题的时间点是否处于质保期为准，即使成交供应商</w:t>
            </w:r>
            <w:r>
              <w:rPr>
                <w:rFonts w:hint="eastAsia" w:ascii="Times New Roman" w:hAnsi="Times New Roman" w:eastAsia="宋体" w:cs="Times New Roman"/>
                <w:color w:val="auto"/>
                <w:sz w:val="24"/>
                <w:szCs w:val="24"/>
              </w:rPr>
              <w:t>委派专业技术人员赴采购人指定现场</w:t>
            </w:r>
            <w:r>
              <w:rPr>
                <w:rFonts w:hint="eastAsia" w:ascii="宋体" w:hAnsi="宋体" w:eastAsia="宋体" w:cs="宋体"/>
                <w:color w:val="auto"/>
                <w:kern w:val="0"/>
                <w:sz w:val="24"/>
                <w:szCs w:val="24"/>
              </w:rPr>
              <w:t>提供质保服务的时间已超过质保期，成交供应商仍须遵循本条规定。</w:t>
            </w:r>
          </w:p>
        </w:tc>
      </w:tr>
      <w:tr w14:paraId="7882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3" w:type="dxa"/>
            <w:noWrap w:val="0"/>
            <w:vAlign w:val="center"/>
          </w:tcPr>
          <w:p w14:paraId="52B9C52A">
            <w:pPr>
              <w:adjustRightInd w:val="0"/>
              <w:spacing w:line="320" w:lineRule="exact"/>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7</w:t>
            </w:r>
          </w:p>
        </w:tc>
        <w:tc>
          <w:tcPr>
            <w:tcW w:w="1991" w:type="dxa"/>
            <w:noWrap w:val="0"/>
            <w:vAlign w:val="center"/>
          </w:tcPr>
          <w:p w14:paraId="1025D8F7">
            <w:pPr>
              <w:adjustRightInd w:val="0"/>
              <w:spacing w:line="320" w:lineRule="exact"/>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包装方式</w:t>
            </w:r>
          </w:p>
          <w:p w14:paraId="433603C5">
            <w:pPr>
              <w:adjustRightInd w:val="0"/>
              <w:spacing w:line="320" w:lineRule="exact"/>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及运输</w:t>
            </w:r>
          </w:p>
        </w:tc>
        <w:tc>
          <w:tcPr>
            <w:tcW w:w="7411" w:type="dxa"/>
            <w:gridSpan w:val="2"/>
            <w:noWrap w:val="0"/>
            <w:vAlign w:val="center"/>
          </w:tcPr>
          <w:p w14:paraId="1B7E9B29">
            <w:pPr>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bidi="ar"/>
              </w:rPr>
              <w:t>本项目可能</w:t>
            </w:r>
            <w:r>
              <w:rPr>
                <w:rFonts w:hint="eastAsia" w:ascii="宋体" w:hAnsi="宋体" w:eastAsia="宋体" w:cs="宋体"/>
                <w:color w:val="auto"/>
                <w:kern w:val="0"/>
                <w:sz w:val="24"/>
                <w:szCs w:val="24"/>
                <w:lang w:val="zh-CN" w:bidi="ar"/>
              </w:rPr>
              <w:t>涉及的商品包装和快递包装，均应符合《商品包装政府采购需求标准（试行）》《快递包装政府采购需求标准（试行）》要求。</w:t>
            </w:r>
          </w:p>
        </w:tc>
      </w:tr>
      <w:tr w14:paraId="4784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3" w:type="dxa"/>
            <w:noWrap w:val="0"/>
            <w:vAlign w:val="center"/>
          </w:tcPr>
          <w:p w14:paraId="5D18DB84">
            <w:pPr>
              <w:adjustRightInd w:val="0"/>
              <w:spacing w:line="320" w:lineRule="exact"/>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8</w:t>
            </w:r>
          </w:p>
        </w:tc>
        <w:tc>
          <w:tcPr>
            <w:tcW w:w="1991" w:type="dxa"/>
            <w:noWrap w:val="0"/>
            <w:vAlign w:val="center"/>
          </w:tcPr>
          <w:p w14:paraId="141D2F4A">
            <w:pPr>
              <w:adjustRightInd w:val="0"/>
              <w:spacing w:line="600" w:lineRule="exact"/>
              <w:jc w:val="center"/>
              <w:rPr>
                <w:rFonts w:hint="eastAsia" w:ascii="黑体" w:hAnsi="黑体" w:eastAsia="黑体" w:cs="黑体"/>
                <w:color w:val="auto"/>
                <w:kern w:val="0"/>
                <w:sz w:val="24"/>
                <w:szCs w:val="24"/>
                <w:lang w:val="zh-CN"/>
              </w:rPr>
            </w:pPr>
            <w:r>
              <w:rPr>
                <w:rFonts w:hint="eastAsia" w:ascii="黑体" w:hAnsi="黑体" w:eastAsia="黑体" w:cs="黑体"/>
                <w:color w:val="auto"/>
                <w:kern w:val="0"/>
                <w:sz w:val="24"/>
                <w:szCs w:val="24"/>
                <w:lang w:val="zh-CN"/>
              </w:rPr>
              <w:t>违约责任与</w:t>
            </w:r>
          </w:p>
          <w:p w14:paraId="5F976F10">
            <w:pPr>
              <w:adjustRightInd w:val="0"/>
              <w:spacing w:line="600" w:lineRule="exact"/>
              <w:jc w:val="center"/>
              <w:rPr>
                <w:rFonts w:ascii="黑体" w:hAnsi="黑体" w:eastAsia="黑体" w:cs="黑体"/>
                <w:color w:val="auto"/>
                <w:kern w:val="0"/>
                <w:sz w:val="24"/>
                <w:szCs w:val="24"/>
              </w:rPr>
            </w:pPr>
            <w:r>
              <w:rPr>
                <w:rFonts w:hint="eastAsia" w:ascii="黑体" w:hAnsi="黑体" w:eastAsia="黑体" w:cs="黑体"/>
                <w:color w:val="auto"/>
                <w:kern w:val="0"/>
                <w:sz w:val="24"/>
                <w:szCs w:val="24"/>
                <w:lang w:val="zh-CN" w:eastAsia="zh-CN"/>
              </w:rPr>
              <w:t>解决</w:t>
            </w:r>
            <w:r>
              <w:rPr>
                <w:rFonts w:hint="eastAsia" w:ascii="黑体" w:hAnsi="黑体" w:eastAsia="黑体" w:cs="黑体"/>
                <w:color w:val="auto"/>
                <w:kern w:val="0"/>
                <w:sz w:val="24"/>
                <w:szCs w:val="24"/>
                <w:lang w:val="zh-CN"/>
              </w:rPr>
              <w:t>方式</w:t>
            </w:r>
          </w:p>
        </w:tc>
        <w:tc>
          <w:tcPr>
            <w:tcW w:w="7411" w:type="dxa"/>
            <w:gridSpan w:val="2"/>
            <w:noWrap w:val="0"/>
            <w:vAlign w:val="center"/>
          </w:tcPr>
          <w:p w14:paraId="3795988A">
            <w:pPr>
              <w:spacing w:line="360" w:lineRule="auto"/>
              <w:rPr>
                <w:rFonts w:ascii="宋体" w:hAnsi="宋体" w:cs="宋体"/>
                <w:bCs/>
                <w:color w:val="auto"/>
                <w:sz w:val="24"/>
                <w:szCs w:val="24"/>
              </w:rPr>
            </w:pPr>
            <w:r>
              <w:rPr>
                <w:rFonts w:hint="eastAsia" w:ascii="宋体" w:hAnsi="宋体" w:cs="宋体"/>
                <w:bCs/>
                <w:color w:val="auto"/>
                <w:sz w:val="24"/>
                <w:szCs w:val="24"/>
              </w:rPr>
              <w:t>第一，违约责任：</w:t>
            </w:r>
          </w:p>
          <w:p w14:paraId="360CE798">
            <w:pPr>
              <w:spacing w:line="360" w:lineRule="auto"/>
              <w:rPr>
                <w:rFonts w:ascii="宋体" w:hAnsi="宋体" w:cs="宋体"/>
                <w:bCs/>
                <w:color w:val="auto"/>
                <w:sz w:val="24"/>
                <w:szCs w:val="24"/>
              </w:rPr>
            </w:pPr>
            <w:r>
              <w:rPr>
                <w:rFonts w:hint="eastAsia" w:ascii="宋体" w:hAnsi="宋体" w:cs="宋体"/>
                <w:bCs/>
                <w:color w:val="auto"/>
                <w:sz w:val="24"/>
                <w:szCs w:val="24"/>
              </w:rPr>
              <w:t>（一）成交供应商必须遵守采购合同并执行合同中的各项规定，保证采购合同的正常履行。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2F36381A">
            <w:pPr>
              <w:spacing w:line="360" w:lineRule="auto"/>
              <w:rPr>
                <w:rFonts w:ascii="宋体" w:hAnsi="宋体" w:cs="宋体"/>
                <w:bCs/>
                <w:color w:val="auto"/>
                <w:sz w:val="24"/>
                <w:szCs w:val="24"/>
              </w:rPr>
            </w:pPr>
            <w:r>
              <w:rPr>
                <w:rFonts w:hint="eastAsia" w:ascii="宋体" w:hAnsi="宋体" w:cs="宋体"/>
                <w:bCs/>
                <w:color w:val="auto"/>
                <w:sz w:val="24"/>
                <w:szCs w:val="24"/>
              </w:rPr>
              <w:t>（二）成交供应商逾期未提供本项目采购合同、技术服务协议约定的服务的，或者成交供应商逾期未按照本项目采购合同、技术服务协议约定的服务期限完</w:t>
            </w:r>
            <w:r>
              <w:rPr>
                <w:rFonts w:hint="eastAsia" w:ascii="宋体" w:hAnsi="宋体" w:cs="宋体"/>
                <w:bCs/>
                <w:color w:val="auto"/>
                <w:sz w:val="24"/>
                <w:szCs w:val="24"/>
                <w:highlight w:val="none"/>
              </w:rPr>
              <w:t>成服务的，从逾期之日起算，每逾期</w:t>
            </w:r>
            <w:r>
              <w:rPr>
                <w:rFonts w:hint="eastAsia" w:ascii="Times New Roman" w:hAnsi="Times New Roman" w:cs="Times New Roman"/>
                <w:bCs/>
                <w:color w:val="auto"/>
                <w:sz w:val="24"/>
                <w:szCs w:val="24"/>
                <w:highlight w:val="none"/>
              </w:rPr>
              <w:t>1</w:t>
            </w:r>
            <w:r>
              <w:rPr>
                <w:rFonts w:hint="eastAsia" w:ascii="宋体" w:hAnsi="宋体" w:cs="宋体"/>
                <w:bCs/>
                <w:color w:val="auto"/>
                <w:sz w:val="24"/>
                <w:szCs w:val="24"/>
                <w:highlight w:val="none"/>
              </w:rPr>
              <w:t>个日历日按成交（中标）金额的</w:t>
            </w:r>
            <w:r>
              <w:rPr>
                <w:rFonts w:hint="eastAsia" w:ascii="Times New Roman" w:hAnsi="Times New Roman" w:cs="Times New Roman"/>
                <w:bCs/>
                <w:color w:val="auto"/>
                <w:sz w:val="24"/>
                <w:szCs w:val="24"/>
                <w:highlight w:val="none"/>
              </w:rPr>
              <w:t>1.5％</w:t>
            </w:r>
            <w:r>
              <w:rPr>
                <w:rFonts w:hint="eastAsia" w:ascii="宋体" w:hAnsi="宋体" w:cs="宋体"/>
                <w:bCs/>
                <w:color w:val="auto"/>
                <w:sz w:val="24"/>
                <w:szCs w:val="24"/>
                <w:highlight w:val="none"/>
              </w:rPr>
              <w:t>向采购人支付违约金；逾</w:t>
            </w:r>
            <w:r>
              <w:rPr>
                <w:rFonts w:ascii="Times New Roman" w:hAnsi="Times New Roman" w:cs="Times New Roman"/>
                <w:bCs/>
                <w:color w:val="auto"/>
                <w:sz w:val="24"/>
                <w:szCs w:val="24"/>
                <w:highlight w:val="none"/>
              </w:rPr>
              <w:t>期</w:t>
            </w:r>
            <w:r>
              <w:rPr>
                <w:rFonts w:hint="eastAsia" w:ascii="Times New Roman" w:hAnsi="Times New Roman" w:cs="Times New Roman"/>
                <w:bCs/>
                <w:color w:val="auto"/>
                <w:sz w:val="24"/>
                <w:szCs w:val="24"/>
                <w:highlight w:val="none"/>
              </w:rPr>
              <w:t>2</w:t>
            </w:r>
            <w:r>
              <w:rPr>
                <w:rFonts w:ascii="Times New Roman" w:hAnsi="Times New Roman" w:cs="Times New Roman"/>
                <w:bCs/>
                <w:color w:val="auto"/>
                <w:sz w:val="24"/>
                <w:szCs w:val="24"/>
                <w:highlight w:val="none"/>
              </w:rPr>
              <w:t>0</w:t>
            </w:r>
            <w:r>
              <w:rPr>
                <w:rFonts w:hint="eastAsia" w:ascii="宋体" w:hAnsi="宋体" w:cs="宋体"/>
                <w:bCs/>
                <w:color w:val="auto"/>
                <w:sz w:val="24"/>
                <w:szCs w:val="24"/>
                <w:highlight w:val="none"/>
              </w:rPr>
              <w:t>个日历日（含）的，采购人将视成交供应商未按合同履约，采购人除了向成交供应商追缴相应的违约金外，还会不予退还成交供应商履约保证金、向学校计划财务处书面报告成交供应商</w:t>
            </w:r>
            <w:r>
              <w:rPr>
                <w:rFonts w:hint="eastAsia" w:ascii="宋体" w:hAnsi="宋体" w:cs="宋体"/>
                <w:bCs/>
                <w:color w:val="auto"/>
                <w:sz w:val="24"/>
                <w:szCs w:val="24"/>
              </w:rPr>
              <w:t>违约情况，对成交供应商依法进行惩戒和追究法律责任</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终止合同</w:t>
            </w:r>
            <w:r>
              <w:rPr>
                <w:rFonts w:hint="eastAsia" w:ascii="宋体" w:hAnsi="宋体" w:cs="宋体"/>
                <w:bCs/>
                <w:color w:val="auto"/>
                <w:sz w:val="24"/>
                <w:szCs w:val="24"/>
              </w:rPr>
              <w:t>，由此造成的采购人经济损失由成交供应商承担。注：上述逾期时间由采购人在同一项目中累加计算，具体以采购人认定为准。</w:t>
            </w:r>
          </w:p>
          <w:p w14:paraId="047182C9">
            <w:pPr>
              <w:spacing w:line="360" w:lineRule="auto"/>
              <w:rPr>
                <w:rFonts w:ascii="宋体" w:hAnsi="宋体" w:cs="宋体"/>
                <w:color w:val="auto"/>
                <w:sz w:val="24"/>
                <w:szCs w:val="24"/>
              </w:rPr>
            </w:pPr>
            <w:r>
              <w:rPr>
                <w:rFonts w:hint="eastAsia" w:ascii="宋体" w:hAnsi="宋体" w:cs="宋体"/>
                <w:bCs/>
                <w:color w:val="auto"/>
                <w:sz w:val="24"/>
                <w:szCs w:val="24"/>
              </w:rPr>
              <w:t>（三）在采购人自行组织的履约验收阶段出现</w:t>
            </w:r>
            <w:r>
              <w:rPr>
                <w:rFonts w:hint="eastAsia" w:ascii="宋体" w:hAnsi="宋体" w:cs="宋体"/>
                <w:color w:val="auto"/>
                <w:sz w:val="24"/>
                <w:szCs w:val="24"/>
              </w:rPr>
              <w:t>履约验收结果不合格的情形，或者质保期内</w:t>
            </w:r>
            <w:r>
              <w:rPr>
                <w:rFonts w:hint="eastAsia" w:ascii="宋体" w:hAnsi="宋体" w:eastAsia="宋体" w:cs="宋体"/>
                <w:color w:val="auto"/>
                <w:kern w:val="0"/>
                <w:sz w:val="24"/>
                <w:szCs w:val="24"/>
              </w:rPr>
              <w:t>成交供应商</w:t>
            </w:r>
            <w:r>
              <w:rPr>
                <w:rFonts w:hint="eastAsia" w:ascii="宋体" w:hAnsi="宋体" w:cs="宋体"/>
                <w:color w:val="auto"/>
                <w:sz w:val="24"/>
                <w:szCs w:val="24"/>
              </w:rPr>
              <w:t>提</w:t>
            </w:r>
            <w:r>
              <w:rPr>
                <w:rFonts w:ascii="Times New Roman" w:hAnsi="Times New Roman" w:eastAsia="宋体" w:cs="Times New Roman"/>
                <w:color w:val="auto"/>
                <w:kern w:val="0"/>
                <w:sz w:val="24"/>
                <w:szCs w:val="24"/>
                <w:lang w:val="zh-CN"/>
              </w:rPr>
              <w:t>供</w:t>
            </w:r>
            <w:r>
              <w:rPr>
                <w:rFonts w:hint="eastAsia" w:ascii="Times New Roman" w:hAnsi="Times New Roman" w:eastAsia="宋体" w:cs="Times New Roman"/>
                <w:color w:val="auto"/>
                <w:kern w:val="0"/>
                <w:sz w:val="24"/>
                <w:szCs w:val="24"/>
              </w:rPr>
              <w:t>的</w:t>
            </w:r>
            <w:r>
              <w:rPr>
                <w:rFonts w:ascii="Times New Roman" w:hAnsi="Times New Roman" w:eastAsia="宋体" w:cs="Times New Roman"/>
                <w:color w:val="auto"/>
                <w:kern w:val="0"/>
                <w:sz w:val="24"/>
                <w:szCs w:val="24"/>
                <w:lang w:val="zh-CN"/>
              </w:rPr>
              <w:t>解决方案</w:t>
            </w:r>
            <w:r>
              <w:rPr>
                <w:rFonts w:hint="eastAsia" w:ascii="Times New Roman" w:hAnsi="Times New Roman" w:eastAsia="宋体" w:cs="Times New Roman"/>
                <w:color w:val="auto"/>
                <w:kern w:val="0"/>
                <w:sz w:val="24"/>
                <w:szCs w:val="24"/>
              </w:rPr>
              <w:t>和</w:t>
            </w:r>
            <w:r>
              <w:rPr>
                <w:rFonts w:hint="eastAsia" w:ascii="宋体" w:hAnsi="宋体" w:eastAsia="宋体" w:cs="宋体"/>
                <w:color w:val="auto"/>
                <w:kern w:val="0"/>
                <w:sz w:val="24"/>
                <w:szCs w:val="24"/>
                <w:lang w:val="zh-CN"/>
              </w:rPr>
              <w:t>远程指导</w:t>
            </w:r>
            <w:r>
              <w:rPr>
                <w:rFonts w:hint="eastAsia" w:ascii="宋体" w:hAnsi="宋体" w:eastAsia="宋体" w:cs="宋体"/>
                <w:color w:val="auto"/>
                <w:kern w:val="0"/>
                <w:sz w:val="24"/>
                <w:szCs w:val="24"/>
              </w:rPr>
              <w:t>或者</w:t>
            </w:r>
            <w:r>
              <w:rPr>
                <w:rFonts w:hint="eastAsia" w:ascii="宋体" w:hAnsi="宋体" w:eastAsia="宋体" w:cs="宋体"/>
                <w:color w:val="auto"/>
                <w:kern w:val="0"/>
                <w:sz w:val="24"/>
                <w:szCs w:val="24"/>
                <w:lang w:val="zh-CN"/>
              </w:rPr>
              <w:t>指派</w:t>
            </w:r>
            <w:r>
              <w:rPr>
                <w:rFonts w:hint="eastAsia" w:ascii="宋体" w:hAnsi="宋体" w:eastAsia="宋体" w:cs="宋体"/>
                <w:color w:val="auto"/>
                <w:kern w:val="0"/>
                <w:sz w:val="24"/>
                <w:szCs w:val="24"/>
              </w:rPr>
              <w:t>专业技术人员赴采购人指定</w:t>
            </w:r>
            <w:r>
              <w:rPr>
                <w:rFonts w:hint="eastAsia" w:ascii="宋体" w:hAnsi="宋体" w:eastAsia="宋体" w:cs="宋体"/>
                <w:color w:val="auto"/>
                <w:kern w:val="0"/>
                <w:sz w:val="24"/>
                <w:szCs w:val="24"/>
                <w:lang w:val="zh-CN"/>
              </w:rPr>
              <w:t>现场</w:t>
            </w:r>
            <w:r>
              <w:rPr>
                <w:rFonts w:hint="eastAsia" w:ascii="宋体" w:hAnsi="宋体" w:eastAsia="宋体" w:cs="宋体"/>
                <w:color w:val="auto"/>
                <w:kern w:val="0"/>
                <w:sz w:val="24"/>
                <w:szCs w:val="24"/>
              </w:rPr>
              <w:t>仍然无法解决故障或质量问题后，拒绝向采购人</w:t>
            </w:r>
            <w:r>
              <w:rPr>
                <w:rFonts w:hint="eastAsia" w:ascii="宋体" w:hAnsi="宋体" w:cs="宋体"/>
                <w:color w:val="auto"/>
                <w:sz w:val="24"/>
                <w:szCs w:val="24"/>
              </w:rPr>
              <w:t>重新提供完整的服务或者</w:t>
            </w:r>
            <w:r>
              <w:rPr>
                <w:rFonts w:hint="eastAsia" w:ascii="宋体" w:hAnsi="宋体" w:eastAsia="宋体" w:cs="宋体"/>
                <w:color w:val="auto"/>
                <w:kern w:val="0"/>
                <w:sz w:val="24"/>
                <w:szCs w:val="24"/>
              </w:rPr>
              <w:t>向采购人</w:t>
            </w:r>
            <w:r>
              <w:rPr>
                <w:rFonts w:hint="eastAsia" w:ascii="宋体" w:hAnsi="宋体" w:cs="宋体"/>
                <w:color w:val="auto"/>
                <w:sz w:val="24"/>
                <w:szCs w:val="24"/>
              </w:rPr>
              <w:t>重新提供完整的服务在新的质保期内再次出现</w:t>
            </w:r>
            <w:r>
              <w:rPr>
                <w:rFonts w:hint="eastAsia" w:ascii="宋体" w:hAnsi="宋体" w:eastAsia="宋体" w:cs="宋体"/>
                <w:color w:val="auto"/>
                <w:kern w:val="0"/>
                <w:sz w:val="24"/>
                <w:szCs w:val="24"/>
              </w:rPr>
              <w:t>故障或质量问题的，</w:t>
            </w:r>
            <w:r>
              <w:rPr>
                <w:rFonts w:hint="eastAsia" w:ascii="宋体" w:hAnsi="宋体" w:cs="宋体"/>
                <w:color w:val="auto"/>
                <w:sz w:val="24"/>
                <w:szCs w:val="24"/>
              </w:rPr>
              <w:t>采购人可依法追究成交供应商的全违约责任，并视具体情形不予支付或者索回本项目采购资金。</w:t>
            </w:r>
          </w:p>
          <w:p w14:paraId="756D6F89">
            <w:pPr>
              <w:spacing w:line="360" w:lineRule="auto"/>
              <w:rPr>
                <w:rFonts w:ascii="宋体" w:hAnsi="宋体" w:cs="宋体"/>
                <w:bCs/>
                <w:color w:val="auto"/>
                <w:sz w:val="24"/>
                <w:szCs w:val="24"/>
              </w:rPr>
            </w:pPr>
            <w:r>
              <w:rPr>
                <w:rFonts w:hint="eastAsia" w:ascii="宋体" w:hAnsi="宋体" w:cs="宋体"/>
                <w:bCs/>
                <w:color w:val="auto"/>
                <w:sz w:val="24"/>
                <w:szCs w:val="24"/>
              </w:rPr>
              <w:t>（四）成交供应商因不可抗力原因导致的合同无法履行，应及时书面报告采购人。经采购人认定情况属实的，可免除成交供应商违约责任，可视具体情形与成交供应商另行签订相关补充协议或书面报告学校计划财务处依法变更成交（中标）结果。</w:t>
            </w:r>
          </w:p>
          <w:p w14:paraId="07E63FD4">
            <w:pPr>
              <w:spacing w:line="360" w:lineRule="auto"/>
              <w:rPr>
                <w:rFonts w:ascii="宋体" w:hAnsi="宋体" w:cs="宋体"/>
                <w:bCs/>
                <w:color w:val="auto"/>
                <w:sz w:val="24"/>
                <w:szCs w:val="24"/>
              </w:rPr>
            </w:pPr>
            <w:r>
              <w:rPr>
                <w:rFonts w:hint="eastAsia" w:ascii="宋体" w:hAnsi="宋体" w:cs="宋体"/>
                <w:bCs/>
                <w:color w:val="auto"/>
                <w:sz w:val="24"/>
                <w:szCs w:val="24"/>
              </w:rPr>
              <w:t>（五）其他未尽事宜以合同约定为准。</w:t>
            </w:r>
          </w:p>
          <w:p w14:paraId="3828E899">
            <w:pPr>
              <w:spacing w:line="360" w:lineRule="auto"/>
              <w:rPr>
                <w:rFonts w:ascii="宋体" w:hAnsi="宋体" w:cs="宋体"/>
                <w:bCs/>
                <w:color w:val="auto"/>
                <w:sz w:val="24"/>
                <w:szCs w:val="24"/>
              </w:rPr>
            </w:pPr>
            <w:r>
              <w:rPr>
                <w:rFonts w:hint="eastAsia" w:ascii="宋体" w:hAnsi="宋体" w:cs="宋体"/>
                <w:bCs/>
                <w:color w:val="auto"/>
                <w:sz w:val="24"/>
                <w:szCs w:val="24"/>
              </w:rPr>
              <w:t>第二，争议解决办法：</w:t>
            </w:r>
          </w:p>
          <w:p w14:paraId="249A9E8D">
            <w:pPr>
              <w:pStyle w:val="10"/>
              <w:spacing w:line="360" w:lineRule="auto"/>
              <w:ind w:firstLine="0" w:firstLineChars="0"/>
              <w:rPr>
                <w:rFonts w:ascii="宋体" w:hAnsi="宋体" w:eastAsia="宋体"/>
                <w:color w:val="auto"/>
                <w:kern w:val="0"/>
                <w:sz w:val="24"/>
                <w:szCs w:val="24"/>
                <w:lang w:val="zh-CN"/>
              </w:rPr>
            </w:pPr>
            <w:r>
              <w:rPr>
                <w:rFonts w:hint="eastAsia" w:ascii="宋体" w:hAnsi="宋体"/>
                <w:color w:val="auto"/>
                <w:sz w:val="24"/>
                <w:szCs w:val="24"/>
              </w:rPr>
              <w:t>在合同履行期间（含质保期），因成交供应商提供的服务存在缺陷造成服务故障或质量问题出现解决争议时，可由采购人或其指定的第三方机构进行质量鉴定，经鉴定后符合本项目采购合同和技术服务协议约定的标准的，鉴定费由采购人承担；经鉴定后不符合本项目采购合同和技术服务协议约定的标准的，鉴定费由成交供应商自行承担；还可由双方协商或由有关部门调解解决，协商或调解不成的，可向采购人所在地人民法院起诉。</w:t>
            </w:r>
          </w:p>
        </w:tc>
      </w:tr>
      <w:tr w14:paraId="77AD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3" w:type="dxa"/>
            <w:noWrap w:val="0"/>
            <w:vAlign w:val="center"/>
          </w:tcPr>
          <w:p w14:paraId="57AC4283">
            <w:pPr>
              <w:adjustRightInd w:val="0"/>
              <w:spacing w:line="320" w:lineRule="exact"/>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9</w:t>
            </w:r>
          </w:p>
        </w:tc>
        <w:tc>
          <w:tcPr>
            <w:tcW w:w="1991" w:type="dxa"/>
            <w:noWrap w:val="0"/>
            <w:vAlign w:val="center"/>
          </w:tcPr>
          <w:p w14:paraId="34CC9C85">
            <w:pPr>
              <w:adjustRightInd w:val="0"/>
              <w:spacing w:line="320" w:lineRule="exact"/>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知识产权</w:t>
            </w:r>
          </w:p>
        </w:tc>
        <w:tc>
          <w:tcPr>
            <w:tcW w:w="7411" w:type="dxa"/>
            <w:gridSpan w:val="2"/>
            <w:noWrap w:val="0"/>
            <w:vAlign w:val="center"/>
          </w:tcPr>
          <w:p w14:paraId="752C7245">
            <w:pPr>
              <w:pStyle w:val="5"/>
              <w:keepNext w:val="0"/>
              <w:keepLines w:val="0"/>
              <w:pageBreakBefore w:val="0"/>
              <w:widowControl w:val="0"/>
              <w:kinsoku/>
              <w:wordWrap/>
              <w:overflowPunct/>
              <w:topLinePunct w:val="0"/>
              <w:autoSpaceDE/>
              <w:autoSpaceDN/>
              <w:bidi w:val="0"/>
              <w:snapToGrid/>
              <w:spacing w:after="0" w:line="360" w:lineRule="auto"/>
              <w:ind w:left="0" w:leftChars="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第一，供应商应保证在本项目中使用的任何</w:t>
            </w:r>
            <w:r>
              <w:rPr>
                <w:rFonts w:hint="eastAsia" w:ascii="宋体" w:hAnsi="宋体" w:cs="宋体"/>
                <w:color w:val="auto"/>
                <w:kern w:val="0"/>
                <w:sz w:val="24"/>
                <w:szCs w:val="24"/>
                <w:highlight w:val="none"/>
                <w:lang w:val="zh-CN"/>
              </w:rPr>
              <w:t>货物</w:t>
            </w:r>
            <w:r>
              <w:rPr>
                <w:rFonts w:hint="eastAsia" w:ascii="宋体" w:hAnsi="宋体" w:cs="宋体"/>
                <w:color w:val="auto"/>
                <w:sz w:val="24"/>
                <w:szCs w:val="24"/>
                <w:highlight w:val="none"/>
              </w:rPr>
              <w:t>和服务，不会产生因第三方提出侵犯其专利权、商标权或其它知识产权而引起的法律和经济纠纷，如因专利权、商标权或其它知识产权而引起法律和经济纠纷，由供应商承担所有相关责任。</w:t>
            </w:r>
          </w:p>
          <w:p w14:paraId="727B7597">
            <w:pPr>
              <w:pStyle w:val="5"/>
              <w:keepNext w:val="0"/>
              <w:keepLines w:val="0"/>
              <w:pageBreakBefore w:val="0"/>
              <w:widowControl w:val="0"/>
              <w:kinsoku/>
              <w:wordWrap/>
              <w:overflowPunct/>
              <w:topLinePunct w:val="0"/>
              <w:autoSpaceDE/>
              <w:autoSpaceDN/>
              <w:bidi w:val="0"/>
              <w:snapToGrid/>
              <w:spacing w:after="0" w:line="360" w:lineRule="auto"/>
              <w:ind w:left="0" w:leftChars="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第二，除非采购文件特别规定，采购人享有本项目实施过程中产生的知识成果及知识产权。</w:t>
            </w:r>
          </w:p>
          <w:p w14:paraId="19852FAC">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cs="宋体"/>
                <w:color w:val="auto"/>
                <w:sz w:val="24"/>
                <w:szCs w:val="24"/>
              </w:rPr>
            </w:pPr>
            <w:r>
              <w:rPr>
                <w:rFonts w:hint="eastAsia" w:ascii="宋体" w:hAnsi="宋体" w:cs="宋体"/>
                <w:color w:val="auto"/>
                <w:sz w:val="24"/>
                <w:szCs w:val="24"/>
                <w:highlight w:val="none"/>
              </w:rPr>
              <w:t>第三，供应商将在采购项目实施过程中采用自有或者第三方知识成果的，应当</w:t>
            </w:r>
            <w:r>
              <w:rPr>
                <w:rFonts w:hint="eastAsia" w:ascii="宋体" w:hAnsi="宋体" w:cs="宋体"/>
                <w:color w:val="auto"/>
                <w:sz w:val="24"/>
                <w:szCs w:val="24"/>
              </w:rPr>
              <w:t>在响应（投标）文件中载明，并提供相关知识产权证明文件。</w:t>
            </w:r>
          </w:p>
          <w:p w14:paraId="3E5EC2FC">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eastAsia="宋体" w:cs="宋体"/>
                <w:color w:val="auto"/>
                <w:kern w:val="0"/>
                <w:sz w:val="24"/>
                <w:szCs w:val="24"/>
                <w:lang w:val="zh-CN"/>
              </w:rPr>
            </w:pPr>
            <w:r>
              <w:rPr>
                <w:rFonts w:hint="eastAsia" w:ascii="宋体" w:hAnsi="宋体" w:cs="宋体"/>
                <w:color w:val="auto"/>
                <w:sz w:val="24"/>
                <w:szCs w:val="24"/>
              </w:rPr>
              <w:t>第四，如采用供应商所不拥有的知识产权，则在供应商响应（投标）报价中必须包括合法获取该知识产权的相关费用。</w:t>
            </w:r>
          </w:p>
        </w:tc>
      </w:tr>
      <w:tr w14:paraId="44D9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3" w:type="dxa"/>
            <w:noWrap w:val="0"/>
            <w:vAlign w:val="center"/>
          </w:tcPr>
          <w:p w14:paraId="30E3C70F">
            <w:pPr>
              <w:adjustRightInd w:val="0"/>
              <w:spacing w:line="320" w:lineRule="exact"/>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10</w:t>
            </w:r>
          </w:p>
        </w:tc>
        <w:tc>
          <w:tcPr>
            <w:tcW w:w="1991" w:type="dxa"/>
            <w:noWrap w:val="0"/>
            <w:vAlign w:val="center"/>
          </w:tcPr>
          <w:p w14:paraId="6402A4FF">
            <w:pPr>
              <w:adjustRightInd w:val="0"/>
              <w:spacing w:line="320" w:lineRule="exact"/>
              <w:jc w:val="center"/>
              <w:rPr>
                <w:rFonts w:ascii="黑体" w:hAnsi="黑体" w:eastAsia="黑体" w:cs="黑体"/>
                <w:color w:val="auto"/>
                <w:kern w:val="0"/>
                <w:sz w:val="24"/>
                <w:szCs w:val="24"/>
                <w:lang w:val="zh-CN"/>
              </w:rPr>
            </w:pPr>
            <w:r>
              <w:rPr>
                <w:rFonts w:hint="eastAsia" w:ascii="黑体" w:hAnsi="黑体" w:eastAsia="黑体" w:cs="黑体"/>
                <w:color w:val="auto"/>
                <w:kern w:val="0"/>
                <w:sz w:val="24"/>
                <w:szCs w:val="24"/>
                <w:lang w:val="zh-CN"/>
              </w:rPr>
              <w:t>其他</w:t>
            </w:r>
          </w:p>
        </w:tc>
        <w:tc>
          <w:tcPr>
            <w:tcW w:w="7411" w:type="dxa"/>
            <w:gridSpan w:val="2"/>
            <w:noWrap w:val="0"/>
            <w:vAlign w:val="center"/>
          </w:tcPr>
          <w:p w14:paraId="5C4E7C9B">
            <w:pPr>
              <w:widowControl/>
              <w:adjustRightInd w:val="0"/>
              <w:spacing w:line="360" w:lineRule="auto"/>
              <w:rPr>
                <w:rFonts w:ascii="宋体" w:hAnsi="宋体" w:cs="宋体"/>
                <w:color w:val="auto"/>
                <w:sz w:val="24"/>
                <w:szCs w:val="24"/>
              </w:rPr>
            </w:pPr>
            <w:r>
              <w:rPr>
                <w:rFonts w:hint="eastAsia" w:ascii="宋体" w:hAnsi="宋体" w:cs="宋体"/>
                <w:color w:val="auto"/>
                <w:sz w:val="24"/>
                <w:szCs w:val="24"/>
              </w:rPr>
              <w:t>第一，本项目履约过程中（含质保期）的服务、供货、安装、调试、检测、试运行、使用培训现场等过程的一切安全责任，由成交供应商自行承担。</w:t>
            </w:r>
          </w:p>
          <w:p w14:paraId="4EBFB8AA">
            <w:pPr>
              <w:widowControl/>
              <w:adjustRightInd w:val="0"/>
              <w:spacing w:line="360" w:lineRule="auto"/>
              <w:rPr>
                <w:rFonts w:hint="eastAsia" w:ascii="宋体" w:hAnsi="宋体" w:cs="宋体"/>
                <w:color w:val="auto"/>
                <w:sz w:val="24"/>
                <w:szCs w:val="24"/>
                <w:highlight w:val="cyan"/>
                <w:lang w:val="en-US" w:eastAsia="zh-CN"/>
              </w:rPr>
            </w:pPr>
            <w:r>
              <w:rPr>
                <w:rFonts w:hint="eastAsia" w:ascii="宋体" w:hAnsi="宋体" w:cs="宋体"/>
                <w:color w:val="auto"/>
                <w:sz w:val="24"/>
                <w:szCs w:val="24"/>
              </w:rPr>
              <w:t>第二，本项目实行包干价，供应商报价须包含供应商在履约过程中产生的服务成本、税费</w:t>
            </w:r>
            <w:r>
              <w:rPr>
                <w:rFonts w:hint="eastAsia" w:ascii="宋体" w:hAnsi="宋体" w:cs="宋体"/>
                <w:color w:val="auto"/>
                <w:sz w:val="24"/>
                <w:szCs w:val="24"/>
                <w:highlight w:val="none"/>
              </w:rPr>
              <w:t>、交通运输费、人工劳务费、质保期内解决故障或质量问题等所有费用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采购人不再另行支付其他任何费用。</w:t>
            </w:r>
          </w:p>
          <w:p w14:paraId="3860A077">
            <w:pPr>
              <w:widowControl/>
              <w:adjustRightInd w:val="0"/>
              <w:spacing w:line="360" w:lineRule="auto"/>
              <w:rPr>
                <w:rFonts w:ascii="宋体" w:hAnsi="宋体" w:cs="宋体"/>
                <w:color w:val="auto"/>
                <w:sz w:val="24"/>
                <w:szCs w:val="24"/>
              </w:rPr>
            </w:pPr>
            <w:r>
              <w:rPr>
                <w:rFonts w:hint="eastAsia" w:ascii="宋体" w:hAnsi="宋体" w:cs="宋体"/>
                <w:color w:val="auto"/>
                <w:sz w:val="24"/>
                <w:szCs w:val="24"/>
              </w:rPr>
              <w:t>第三，本项目不收取供应商质量保证金。</w:t>
            </w:r>
          </w:p>
          <w:p w14:paraId="147EA7D8">
            <w:pPr>
              <w:widowControl/>
              <w:adjustRightInd w:val="0"/>
              <w:spacing w:line="360" w:lineRule="auto"/>
              <w:rPr>
                <w:rFonts w:ascii="宋体" w:hAnsi="宋体" w:eastAsia="宋体" w:cs="宋体"/>
                <w:color w:val="auto"/>
                <w:kern w:val="0"/>
                <w:sz w:val="24"/>
                <w:szCs w:val="24"/>
                <w:highlight w:val="green"/>
              </w:rPr>
            </w:pPr>
            <w:r>
              <w:rPr>
                <w:rFonts w:hint="eastAsia" w:ascii="宋体" w:hAnsi="宋体" w:cs="宋体"/>
                <w:color w:val="auto"/>
                <w:sz w:val="24"/>
                <w:szCs w:val="24"/>
              </w:rPr>
              <w:t>第四，本项目允许报名供应商自行踏勘现场，采购人不再单独组织。</w:t>
            </w:r>
          </w:p>
        </w:tc>
      </w:tr>
    </w:tbl>
    <w:p w14:paraId="1E7C75E0">
      <w:pPr>
        <w:pStyle w:val="3"/>
        <w:ind w:right="-92" w:rightChars="-44"/>
        <w:rPr>
          <w:rFonts w:hint="eastAsia" w:ascii="宋体" w:hAnsi="宋体" w:cs="宋体"/>
          <w:b/>
          <w:bCs/>
          <w:color w:val="auto"/>
          <w:sz w:val="24"/>
          <w:highlight w:val="red"/>
        </w:rPr>
      </w:pPr>
    </w:p>
    <w:p w14:paraId="7EE86B31">
      <w:pPr>
        <w:pStyle w:val="3"/>
        <w:ind w:right="-92" w:rightChars="-44"/>
        <w:rPr>
          <w:rFonts w:hint="eastAsia" w:ascii="宋体" w:hAnsi="宋体" w:cs="宋体"/>
          <w:b/>
          <w:bCs/>
          <w:color w:val="auto"/>
          <w:sz w:val="24"/>
          <w:highlight w:val="red"/>
        </w:rPr>
      </w:pPr>
    </w:p>
    <w:p w14:paraId="311C70A4">
      <w:pPr>
        <w:pStyle w:val="3"/>
        <w:ind w:right="-92" w:rightChars="-44"/>
        <w:rPr>
          <w:rFonts w:hint="eastAsia" w:ascii="宋体" w:hAnsi="宋体" w:cs="宋体"/>
          <w:b/>
          <w:bCs/>
          <w:color w:val="auto"/>
          <w:sz w:val="24"/>
          <w:highlight w:val="red"/>
        </w:rPr>
      </w:pPr>
    </w:p>
    <w:p w14:paraId="6F7AE86F">
      <w:pPr>
        <w:pStyle w:val="3"/>
        <w:ind w:right="-92" w:rightChars="-44"/>
        <w:rPr>
          <w:rFonts w:hint="eastAsia" w:ascii="宋体" w:hAnsi="宋体" w:cs="宋体"/>
          <w:b/>
          <w:bCs/>
          <w:color w:val="auto"/>
          <w:sz w:val="24"/>
          <w:highlight w:val="red"/>
        </w:rPr>
      </w:pPr>
      <w:r>
        <w:rPr>
          <w:rFonts w:hint="eastAsia" w:ascii="宋体" w:hAnsi="宋体" w:cs="宋体"/>
          <w:b/>
          <w:bCs/>
          <w:color w:val="auto"/>
          <w:sz w:val="24"/>
          <w:highlight w:val="none"/>
          <w:lang w:val="en-US" w:eastAsia="zh-CN"/>
        </w:rPr>
        <w:t>五、其他要求</w:t>
      </w:r>
    </w:p>
    <w:p w14:paraId="1A15AF9B">
      <w:pPr>
        <w:pStyle w:val="6"/>
        <w:snapToGrid w:val="0"/>
        <w:spacing w:line="360" w:lineRule="auto"/>
        <w:ind w:right="-92" w:rightChars="-44"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1.供应商针对本项目提供项目实施方案，需包括以下内容：①AI课程策划方案；②AI课程设计方案；③AI课程建设人员安排；④售后服务；⑤保障期保障运维方案。</w:t>
      </w:r>
    </w:p>
    <w:p w14:paraId="6CA54C83">
      <w:pPr>
        <w:pStyle w:val="6"/>
        <w:snapToGrid w:val="0"/>
        <w:spacing w:line="360" w:lineRule="auto"/>
        <w:ind w:right="-92" w:rightChars="-44"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2.供应商针对本项目提供培训方案，需包括以下内容：①具体培训安排及时间规划；②具体培训内容；③培训质量保证措施。</w:t>
      </w:r>
    </w:p>
    <w:p w14:paraId="43A0337B">
      <w:pPr>
        <w:pStyle w:val="6"/>
        <w:snapToGrid w:val="0"/>
        <w:spacing w:line="360" w:lineRule="auto"/>
        <w:ind w:right="-92" w:rightChars="-44"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针对本项目提供技术实施方案，需包括以下内容：①提供稳定、高效的AI课程在线学习平台，支持多种终端设备访问的技术保障措施；②提供当前AI课程的使用数据分析报告，包含所有应用场景的阶段性使用数据与学期数据分析，提供相关指导性意见优化AI课程使用场景，辅助客户了解AI课程使用情况、落地效果；③提供技术支持和客户服务，解决教师、学生在使用上的问题。</w:t>
      </w:r>
    </w:p>
    <w:p w14:paraId="5478EDE3">
      <w:pPr>
        <w:pStyle w:val="6"/>
        <w:snapToGrid w:val="0"/>
        <w:spacing w:line="360" w:lineRule="auto"/>
        <w:ind w:right="-92" w:rightChars="-44" w:firstLine="48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lang w:val="en-US" w:eastAsia="zh-CN"/>
        </w:rPr>
        <w:t>4.供应商针对本项目提供自2022年1月1日（含）至递交响应（投标）文件截止时间为止，自身取得的类似采购项目业绩（类似项目业绩指业绩内容须覆盖本项目采购内容之一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66F1D9FA">
      <w:pPr>
        <w:pStyle w:val="6"/>
        <w:snapToGrid w:val="0"/>
        <w:spacing w:line="360" w:lineRule="auto"/>
        <w:ind w:right="-92" w:rightChars="-44"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5.供应商针对本项目提供拟投入的项目主要团队成员需要4人及以上（提供团队人员在职证明和相关学历复印件或扫描件并加盖供应商公章）。</w:t>
      </w:r>
    </w:p>
    <w:p w14:paraId="6B574D34">
      <w:pPr>
        <w:pStyle w:val="2"/>
        <w:spacing w:line="360" w:lineRule="auto"/>
        <w:ind w:right="-92" w:rightChars="-44" w:firstLine="0" w:firstLineChars="0"/>
        <w:rPr>
          <w:rFonts w:hint="eastAsia" w:ascii="宋体" w:hAnsi="宋体" w:cs="宋体"/>
          <w:b/>
          <w:bCs/>
          <w:color w:val="auto"/>
          <w:sz w:val="21"/>
          <w:szCs w:val="21"/>
          <w:highlight w:val="none"/>
        </w:rPr>
      </w:pPr>
      <w:r>
        <w:rPr>
          <w:rFonts w:hint="eastAsia" w:hAnsi="宋体" w:cs="宋体"/>
          <w:b/>
          <w:bCs/>
          <w:color w:val="auto"/>
          <w:sz w:val="21"/>
          <w:szCs w:val="21"/>
        </w:rPr>
        <w:t>注：</w:t>
      </w:r>
      <w:r>
        <w:rPr>
          <w:rFonts w:hint="eastAsia" w:ascii="宋体" w:hAnsi="宋体" w:cs="宋体"/>
          <w:b/>
          <w:bCs/>
          <w:color w:val="auto"/>
          <w:sz w:val="21"/>
          <w:szCs w:val="21"/>
        </w:rPr>
        <w:t>1、以上</w:t>
      </w:r>
      <w:r>
        <w:rPr>
          <w:rFonts w:hint="eastAsia" w:ascii="宋体" w:hAnsi="宋体" w:cs="宋体"/>
          <w:b/>
          <w:bCs/>
          <w:color w:val="auto"/>
          <w:sz w:val="21"/>
          <w:szCs w:val="21"/>
          <w:highlight w:val="none"/>
        </w:rPr>
        <w:t>打“★”号的为本次</w:t>
      </w:r>
      <w:r>
        <w:rPr>
          <w:rFonts w:hint="eastAsia" w:ascii="宋体" w:hAnsi="宋体" w:cs="宋体"/>
          <w:b/>
          <w:bCs/>
          <w:color w:val="auto"/>
          <w:sz w:val="21"/>
          <w:szCs w:val="21"/>
          <w:highlight w:val="none"/>
          <w:lang w:val="en-US" w:eastAsia="zh-CN"/>
        </w:rPr>
        <w:t>磋商</w:t>
      </w:r>
      <w:r>
        <w:rPr>
          <w:rFonts w:hint="eastAsia" w:ascii="宋体" w:hAnsi="宋体" w:cs="宋体"/>
          <w:b/>
          <w:bCs/>
          <w:color w:val="auto"/>
          <w:sz w:val="21"/>
          <w:szCs w:val="21"/>
          <w:highlight w:val="none"/>
        </w:rPr>
        <w:t>项目的实质性要求，不允许有负偏离。</w:t>
      </w:r>
    </w:p>
    <w:p w14:paraId="5DFCACA4">
      <w:pPr>
        <w:pStyle w:val="2"/>
        <w:spacing w:line="360" w:lineRule="auto"/>
        <w:ind w:right="-92" w:rightChars="-44" w:firstLine="422" w:firstLineChars="200"/>
        <w:rPr>
          <w:rFonts w:hint="eastAsia" w:hAnsi="宋体" w:cs="宋体"/>
          <w:b/>
          <w:color w:val="auto"/>
          <w:sz w:val="24"/>
          <w:szCs w:val="24"/>
          <w:highlight w:val="none"/>
        </w:rPr>
      </w:pPr>
      <w:r>
        <w:rPr>
          <w:rFonts w:hint="eastAsia" w:ascii="宋体" w:hAnsi="宋体" w:cs="宋体"/>
          <w:b/>
          <w:bCs/>
          <w:color w:val="auto"/>
          <w:sz w:val="21"/>
          <w:szCs w:val="21"/>
          <w:highlight w:val="none"/>
        </w:rPr>
        <w:t>2、以上打“▲”号的为本次</w:t>
      </w:r>
      <w:r>
        <w:rPr>
          <w:rFonts w:hint="eastAsia" w:ascii="宋体" w:hAnsi="宋体" w:cs="宋体"/>
          <w:b/>
          <w:bCs/>
          <w:color w:val="auto"/>
          <w:sz w:val="21"/>
          <w:szCs w:val="21"/>
          <w:highlight w:val="none"/>
          <w:lang w:val="en-US" w:eastAsia="zh-CN"/>
        </w:rPr>
        <w:t>磋商</w:t>
      </w:r>
      <w:r>
        <w:rPr>
          <w:rFonts w:hint="eastAsia" w:ascii="宋体" w:hAnsi="宋体" w:cs="宋体"/>
          <w:b/>
          <w:bCs/>
          <w:color w:val="auto"/>
          <w:sz w:val="21"/>
          <w:szCs w:val="21"/>
          <w:highlight w:val="none"/>
        </w:rPr>
        <w:t>项目的重要性条款，应尽量满足。</w:t>
      </w:r>
    </w:p>
    <w:p w14:paraId="24351573">
      <w:pPr>
        <w:pStyle w:val="6"/>
        <w:snapToGrid w:val="0"/>
        <w:spacing w:line="360" w:lineRule="auto"/>
        <w:ind w:right="-92" w:rightChars="-44"/>
        <w:rPr>
          <w:rFonts w:hint="eastAsia" w:hAnsi="宋体" w:cs="宋体"/>
          <w:b/>
          <w:color w:val="auto"/>
          <w:sz w:val="21"/>
          <w:szCs w:val="21"/>
        </w:rPr>
      </w:pPr>
      <w:r>
        <w:rPr>
          <w:rFonts w:hint="eastAsia" w:hAnsi="宋体" w:cs="宋体"/>
          <w:b/>
          <w:color w:val="auto"/>
          <w:sz w:val="24"/>
          <w:szCs w:val="24"/>
          <w:highlight w:val="none"/>
        </w:rPr>
        <w:t xml:space="preserve"> </w:t>
      </w:r>
      <w:r>
        <w:rPr>
          <w:rFonts w:hint="eastAsia" w:hAnsi="宋体" w:cs="宋体"/>
          <w:b/>
          <w:color w:val="auto"/>
          <w:sz w:val="21"/>
          <w:szCs w:val="21"/>
          <w:highlight w:val="none"/>
        </w:rPr>
        <w:t xml:space="preserve">  </w:t>
      </w:r>
      <w:r>
        <w:rPr>
          <w:rFonts w:hint="eastAsia" w:hAnsi="宋体" w:cs="宋体"/>
          <w:b/>
          <w:color w:val="auto"/>
          <w:sz w:val="21"/>
          <w:szCs w:val="21"/>
          <w:highlight w:val="none"/>
          <w:lang w:val="en-US" w:eastAsia="zh-CN"/>
        </w:rPr>
        <w:t xml:space="preserve"> 3</w:t>
      </w:r>
      <w:r>
        <w:rPr>
          <w:rFonts w:hint="eastAsia" w:hAnsi="宋体" w:cs="宋体"/>
          <w:b/>
          <w:color w:val="auto"/>
          <w:sz w:val="21"/>
          <w:szCs w:val="21"/>
          <w:highlight w:val="none"/>
          <w:lang w:eastAsia="zh-CN"/>
        </w:rPr>
        <w:t>、</w:t>
      </w:r>
      <w:r>
        <w:rPr>
          <w:rFonts w:hint="eastAsia" w:hAnsi="宋体" w:cs="宋体"/>
          <w:b/>
          <w:color w:val="auto"/>
          <w:sz w:val="21"/>
          <w:szCs w:val="21"/>
          <w:highlight w:val="none"/>
        </w:rPr>
        <w:t>本章所包含的全部采购需求（本章三、技术、服务要求</w:t>
      </w:r>
      <w:r>
        <w:rPr>
          <w:rFonts w:hint="eastAsia" w:hAnsi="宋体" w:cs="宋体"/>
          <w:b/>
          <w:color w:val="auto"/>
          <w:sz w:val="21"/>
          <w:szCs w:val="21"/>
          <w:highlight w:val="none"/>
          <w:lang w:eastAsia="zh-CN"/>
        </w:rPr>
        <w:t>、</w:t>
      </w:r>
      <w:r>
        <w:rPr>
          <w:rFonts w:hint="eastAsia" w:hAnsi="宋体" w:cs="宋体"/>
          <w:b/>
          <w:color w:val="auto"/>
          <w:sz w:val="21"/>
          <w:szCs w:val="21"/>
          <w:highlight w:val="none"/>
          <w:lang w:val="en-US" w:eastAsia="zh-CN"/>
        </w:rPr>
        <w:t>四、商务要求</w:t>
      </w:r>
      <w:r>
        <w:rPr>
          <w:rFonts w:hint="eastAsia" w:hAnsi="宋体" w:cs="宋体"/>
          <w:b/>
          <w:color w:val="auto"/>
          <w:sz w:val="21"/>
          <w:szCs w:val="21"/>
          <w:highlight w:val="none"/>
        </w:rPr>
        <w:t>），在磋商过程中，磋商小组在获得采购人代表确认的前提下，可以根据磋商情况实质性变动相关内容。磋商小组对磋商文件作出的实质性变动是磋商文件的有效组成部分，磋商小组会及时以书面</w:t>
      </w:r>
      <w:r>
        <w:rPr>
          <w:rFonts w:hint="eastAsia" w:hAnsi="宋体" w:cs="宋体"/>
          <w:b/>
          <w:color w:val="auto"/>
          <w:sz w:val="21"/>
          <w:szCs w:val="21"/>
        </w:rPr>
        <w:t>形式通知所有参加磋商的供应商。</w:t>
      </w:r>
    </w:p>
    <w:p w14:paraId="7CAB79FA">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A6A78"/>
    <w:multiLevelType w:val="singleLevel"/>
    <w:tmpl w:val="BC9A6A7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F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annotation text"/>
    <w:basedOn w:val="1"/>
    <w:qFormat/>
    <w:uiPriority w:val="0"/>
    <w:pPr>
      <w:jc w:val="left"/>
    </w:pPr>
    <w:rPr>
      <w:sz w:val="18"/>
      <w:szCs w:val="20"/>
    </w:rPr>
  </w:style>
  <w:style w:type="paragraph" w:styleId="4">
    <w:name w:val="Body Text"/>
    <w:basedOn w:val="1"/>
    <w:next w:val="1"/>
    <w:qFormat/>
    <w:uiPriority w:val="0"/>
    <w:pPr>
      <w:spacing w:after="120"/>
    </w:pPr>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autoSpaceDE w:val="0"/>
      <w:autoSpaceDN w:val="0"/>
      <w:adjustRightInd w:val="0"/>
    </w:pPr>
    <w:rPr>
      <w:rFonts w:ascii="宋体" w:hAnsi="Tms Rmn"/>
      <w:kern w:val="0"/>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2025-06-06T08:05:23Z</dcterms:created>
  <dc:creator>Administrator</dc:creator>
  <cp:lastModifiedBy>智仟项目管理有限公司</cp:lastModifiedBy>
  <dcterms:modified xsi:type="dcterms:W3CDTF">2025-06-06T08:06:44Z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eyJoZGlkIjoiNzJjZjNhNTM0MGMxMWM3ODQ2OGFmZTM4MDRhYTc0YTkiLCJ1c2VySWQiOiIxMzA1NzgzNTE0In0=</vt:lpwstr>
  </property>
  <property fmtid="{D5CDD505-2E9C-101B-9397-08002B2CF9AE}" pid="4" name="ICV">
    <vt:lpwstr>2734DC468FC64665961F95BEED7A9BED_12</vt:lpwstr>
  </property>
</Properties>
</file>