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804C0">
      <w:pPr>
        <w:jc w:val="center"/>
        <w:rPr>
          <w:rFonts w:hint="eastAsia" w:ascii="仿宋" w:hAnsi="仿宋" w:eastAsia="仿宋" w:cs="仿宋"/>
          <w:color w:val="auto"/>
          <w:sz w:val="52"/>
          <w:szCs w:val="52"/>
          <w:highlight w:val="none"/>
        </w:rPr>
      </w:pPr>
    </w:p>
    <w:p w14:paraId="3C382A7C">
      <w:pPr>
        <w:jc w:val="center"/>
        <w:rPr>
          <w:rFonts w:hint="eastAsia" w:ascii="仿宋" w:hAnsi="仿宋" w:eastAsia="仿宋" w:cs="仿宋"/>
          <w:color w:val="auto"/>
          <w:sz w:val="52"/>
          <w:szCs w:val="52"/>
          <w:highlight w:val="none"/>
        </w:rPr>
      </w:pPr>
    </w:p>
    <w:p w14:paraId="4F0196AD">
      <w:pPr>
        <w:jc w:val="center"/>
        <w:rPr>
          <w:rFonts w:hint="eastAsia" w:ascii="仿宋" w:hAnsi="仿宋" w:eastAsia="仿宋" w:cs="仿宋"/>
          <w:color w:val="auto"/>
          <w:sz w:val="84"/>
          <w:szCs w:val="84"/>
          <w:highlight w:val="none"/>
        </w:rPr>
      </w:pPr>
    </w:p>
    <w:p w14:paraId="6C5BFB4B">
      <w:pPr>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竞争性谈判文件</w:t>
      </w:r>
    </w:p>
    <w:p w14:paraId="2D71081B">
      <w:pPr>
        <w:jc w:val="center"/>
        <w:rPr>
          <w:rFonts w:hint="eastAsia" w:ascii="仿宋" w:hAnsi="仿宋" w:eastAsia="仿宋" w:cs="仿宋"/>
          <w:color w:val="auto"/>
          <w:sz w:val="52"/>
          <w:szCs w:val="52"/>
          <w:highlight w:val="none"/>
        </w:rPr>
      </w:pPr>
    </w:p>
    <w:p w14:paraId="7DAC2179">
      <w:pPr>
        <w:jc w:val="center"/>
        <w:rPr>
          <w:rFonts w:hint="eastAsia" w:ascii="仿宋" w:hAnsi="仿宋" w:eastAsia="仿宋" w:cs="仿宋"/>
          <w:color w:val="auto"/>
          <w:sz w:val="52"/>
          <w:szCs w:val="52"/>
          <w:highlight w:val="none"/>
        </w:rPr>
      </w:pPr>
    </w:p>
    <w:p w14:paraId="0DADE20A">
      <w:pPr>
        <w:jc w:val="center"/>
        <w:rPr>
          <w:rFonts w:hint="eastAsia" w:ascii="仿宋" w:hAnsi="仿宋" w:eastAsia="仿宋" w:cs="仿宋"/>
          <w:color w:val="auto"/>
          <w:sz w:val="52"/>
          <w:szCs w:val="52"/>
          <w:highlight w:val="none"/>
        </w:rPr>
      </w:pPr>
    </w:p>
    <w:p w14:paraId="5684716D">
      <w:pPr>
        <w:jc w:val="center"/>
        <w:rPr>
          <w:rFonts w:hint="eastAsia" w:ascii="仿宋" w:hAnsi="仿宋" w:eastAsia="仿宋" w:cs="仿宋"/>
          <w:color w:val="auto"/>
          <w:sz w:val="84"/>
          <w:szCs w:val="84"/>
          <w:highlight w:val="none"/>
        </w:rPr>
      </w:pPr>
    </w:p>
    <w:p w14:paraId="2B9FC737">
      <w:pPr>
        <w:jc w:val="left"/>
        <w:rPr>
          <w:rFonts w:hint="eastAsia" w:ascii="仿宋" w:hAnsi="仿宋" w:eastAsia="仿宋" w:cs="仿宋"/>
          <w:color w:val="auto"/>
          <w:sz w:val="30"/>
          <w:szCs w:val="30"/>
          <w:highlight w:val="none"/>
          <w:u w:val="singl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lang w:eastAsia="zh-CN"/>
        </w:rPr>
        <w:t>XYXG2025031</w:t>
      </w:r>
    </w:p>
    <w:p w14:paraId="3A05D439">
      <w:pPr>
        <w:jc w:val="lef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lang w:val="en-US" w:eastAsia="zh-CN"/>
        </w:rPr>
        <w:t>自贡市航空产业园产教融合实训基地项目社会稳定性评估报告编制服务项目</w:t>
      </w:r>
    </w:p>
    <w:p w14:paraId="529B9B5E">
      <w:pPr>
        <w:jc w:val="left"/>
        <w:rPr>
          <w:rFonts w:hint="eastAsia" w:ascii="仿宋" w:hAnsi="仿宋" w:eastAsia="仿宋" w:cs="仿宋"/>
          <w:bCs/>
          <w:color w:val="auto"/>
          <w:sz w:val="30"/>
          <w:szCs w:val="30"/>
          <w:highlight w:val="none"/>
          <w:u w:val="single"/>
          <w:lang w:val="en-US" w:eastAsia="zh-CN"/>
        </w:rPr>
      </w:pPr>
      <w:r>
        <w:rPr>
          <w:rFonts w:hint="eastAsia" w:ascii="仿宋" w:hAnsi="仿宋" w:eastAsia="仿宋" w:cs="仿宋"/>
          <w:color w:val="auto"/>
          <w:sz w:val="30"/>
          <w:szCs w:val="30"/>
          <w:highlight w:val="none"/>
        </w:rPr>
        <w:t>采 购 人：</w:t>
      </w:r>
      <w:r>
        <w:rPr>
          <w:rFonts w:hint="eastAsia" w:ascii="仿宋" w:hAnsi="仿宋" w:eastAsia="仿宋" w:cs="仿宋"/>
          <w:bCs/>
          <w:color w:val="auto"/>
          <w:sz w:val="30"/>
          <w:szCs w:val="30"/>
          <w:highlight w:val="none"/>
          <w:u w:val="single"/>
          <w:lang w:eastAsia="zh-CN"/>
        </w:rPr>
        <w:t>自贡市教体建设开发有限公司</w:t>
      </w:r>
    </w:p>
    <w:p w14:paraId="00A7184A">
      <w:pPr>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采购代理机构：</w:t>
      </w:r>
      <w:r>
        <w:rPr>
          <w:rFonts w:hint="eastAsia" w:ascii="仿宋" w:hAnsi="仿宋" w:eastAsia="仿宋" w:cs="仿宋"/>
          <w:color w:val="auto"/>
          <w:sz w:val="30"/>
          <w:szCs w:val="30"/>
          <w:highlight w:val="none"/>
          <w:u w:val="single"/>
          <w:lang w:eastAsia="zh-CN"/>
        </w:rPr>
        <w:t>四川鑫益工程项目管理有限公司</w:t>
      </w:r>
    </w:p>
    <w:p w14:paraId="6E1B41F4">
      <w:pPr>
        <w:jc w:val="center"/>
        <w:rPr>
          <w:rFonts w:hint="eastAsia" w:ascii="仿宋" w:hAnsi="仿宋" w:eastAsia="仿宋" w:cs="仿宋"/>
          <w:color w:val="auto"/>
          <w:sz w:val="32"/>
          <w:szCs w:val="32"/>
          <w:highlight w:val="none"/>
          <w:u w:val="single"/>
        </w:rPr>
      </w:pPr>
    </w:p>
    <w:p w14:paraId="77727E85">
      <w:pPr>
        <w:jc w:val="center"/>
        <w:rPr>
          <w:rFonts w:hint="eastAsia" w:ascii="仿宋" w:hAnsi="仿宋" w:eastAsia="仿宋" w:cs="仿宋"/>
          <w:color w:val="auto"/>
          <w:sz w:val="84"/>
          <w:szCs w:val="84"/>
          <w:highlight w:val="none"/>
        </w:rPr>
      </w:pPr>
      <w:r>
        <w:rPr>
          <w:rFonts w:hint="eastAsia" w:ascii="仿宋" w:hAnsi="仿宋" w:eastAsia="仿宋" w:cs="仿宋"/>
          <w:color w:val="auto"/>
          <w:sz w:val="32"/>
          <w:szCs w:val="32"/>
          <w:highlight w:val="none"/>
          <w:u w:val="none"/>
        </w:rPr>
        <w:t>二〇二</w:t>
      </w:r>
      <w:r>
        <w:rPr>
          <w:rFonts w:hint="eastAsia" w:ascii="仿宋" w:hAnsi="仿宋" w:eastAsia="仿宋" w:cs="仿宋"/>
          <w:color w:val="auto"/>
          <w:sz w:val="32"/>
          <w:szCs w:val="32"/>
          <w:highlight w:val="none"/>
          <w:u w:val="none"/>
          <w:lang w:eastAsia="zh-CN"/>
        </w:rPr>
        <w:t>五</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eastAsia="zh-CN"/>
        </w:rPr>
        <w:t>七</w:t>
      </w:r>
      <w:r>
        <w:rPr>
          <w:rFonts w:hint="eastAsia" w:ascii="仿宋" w:hAnsi="仿宋" w:eastAsia="仿宋" w:cs="仿宋"/>
          <w:color w:val="auto"/>
          <w:sz w:val="32"/>
          <w:szCs w:val="32"/>
          <w:highlight w:val="none"/>
          <w:u w:val="none"/>
        </w:rPr>
        <w:t>月</w:t>
      </w:r>
    </w:p>
    <w:p w14:paraId="405BC208">
      <w:pPr>
        <w:rPr>
          <w:rFonts w:hint="eastAsia" w:ascii="仿宋" w:hAnsi="仿宋" w:eastAsia="仿宋" w:cs="仿宋"/>
          <w:color w:val="auto"/>
          <w:highlight w:val="none"/>
        </w:rPr>
      </w:pPr>
    </w:p>
    <w:p w14:paraId="2C359DBD">
      <w:pPr>
        <w:pStyle w:val="62"/>
        <w:jc w:val="center"/>
        <w:rPr>
          <w:rFonts w:hint="eastAsia" w:ascii="仿宋" w:hAnsi="仿宋" w:eastAsia="仿宋" w:cs="仿宋"/>
          <w:color w:val="auto"/>
          <w:highlight w:val="none"/>
          <w:lang w:val="zh-CN"/>
        </w:rPr>
        <w:sectPr>
          <w:headerReference r:id="rId4" w:type="first"/>
          <w:headerReference r:id="rId3" w:type="default"/>
          <w:footerReference r:id="rId5" w:type="default"/>
          <w:pgSz w:w="11906" w:h="16838"/>
          <w:pgMar w:top="1440" w:right="1080" w:bottom="1440" w:left="1080" w:header="851" w:footer="992" w:gutter="0"/>
          <w:pgNumType w:fmt="decimal"/>
          <w:cols w:space="720" w:num="1"/>
          <w:titlePg/>
          <w:docGrid w:type="lines" w:linePitch="312" w:charSpace="0"/>
        </w:sectPr>
      </w:pPr>
    </w:p>
    <w:p w14:paraId="4BD5CD2E">
      <w:pPr>
        <w:pStyle w:val="62"/>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目录</w:t>
      </w:r>
    </w:p>
    <w:p w14:paraId="677DD3B1">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val="0"/>
          <w:color w:val="auto"/>
          <w:highlight w:val="none"/>
        </w:rPr>
        <w:fldChar w:fldCharType="begin"/>
      </w:r>
      <w:r>
        <w:rPr>
          <w:rFonts w:hint="eastAsia" w:ascii="仿宋" w:hAnsi="仿宋" w:eastAsia="仿宋" w:cs="仿宋"/>
          <w:b w:val="0"/>
          <w:bCs w:val="0"/>
          <w:caps w:val="0"/>
          <w:color w:val="auto"/>
          <w:highlight w:val="none"/>
        </w:rPr>
        <w:instrText xml:space="preserve"> TOC \o "1-1" \h \z \u </w:instrText>
      </w:r>
      <w:r>
        <w:rPr>
          <w:rFonts w:hint="eastAsia" w:ascii="仿宋" w:hAnsi="仿宋" w:eastAsia="仿宋" w:cs="仿宋"/>
          <w:b w:val="0"/>
          <w:bCs w:val="0"/>
          <w:caps w:val="0"/>
          <w:color w:val="auto"/>
          <w:highlight w:val="none"/>
        </w:rPr>
        <w:fldChar w:fldCharType="separate"/>
      </w:r>
      <w:r>
        <w:rPr>
          <w:rFonts w:hint="eastAsia" w:ascii="仿宋" w:hAnsi="仿宋" w:eastAsia="仿宋" w:cs="仿宋"/>
          <w:b w:val="0"/>
          <w:bCs w:val="0"/>
          <w:caps w:val="0"/>
          <w:color w:val="auto"/>
          <w:highlight w:val="none"/>
        </w:rPr>
        <w:fldChar w:fldCharType="begin"/>
      </w:r>
      <w:r>
        <w:rPr>
          <w:rFonts w:hint="eastAsia" w:ascii="仿宋" w:hAnsi="仿宋" w:eastAsia="仿宋" w:cs="仿宋"/>
          <w:b w:val="0"/>
          <w:bCs w:val="0"/>
          <w:caps w:val="0"/>
          <w:color w:val="auto"/>
          <w:highlight w:val="none"/>
        </w:rPr>
        <w:instrText xml:space="preserve"> HYPERLINK \l _Toc21350 </w:instrText>
      </w:r>
      <w:r>
        <w:rPr>
          <w:rFonts w:hint="eastAsia" w:ascii="仿宋" w:hAnsi="仿宋" w:eastAsia="仿宋" w:cs="仿宋"/>
          <w:b w:val="0"/>
          <w:bCs w:val="0"/>
          <w:caps w:val="0"/>
          <w:color w:val="auto"/>
          <w:highlight w:val="none"/>
        </w:rPr>
        <w:fldChar w:fldCharType="separate"/>
      </w:r>
      <w:r>
        <w:rPr>
          <w:rFonts w:hint="eastAsia" w:ascii="仿宋" w:hAnsi="仿宋" w:eastAsia="仿宋" w:cs="仿宋"/>
          <w:b w:val="0"/>
          <w:bCs w:val="0"/>
          <w:color w:val="auto"/>
          <w:szCs w:val="32"/>
          <w:highlight w:val="none"/>
        </w:rPr>
        <w:t>第一章  谈判邀请</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_Toc21350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val="0"/>
          <w:color w:val="auto"/>
          <w:highlight w:val="none"/>
        </w:rPr>
        <w:fldChar w:fldCharType="end"/>
      </w:r>
    </w:p>
    <w:p w14:paraId="58611D47">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_Toc21349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第二章  谈判须知</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_Toc21349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2</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3F62A6B6">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_Toc29823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第三章  供应商的资格要求</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_Toc29823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14</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44AAC7E7">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_Toc30300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第四章  供应商应当提供的资格证明材料</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_Toc30300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15</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3D8CA901">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_Toc10231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第五章  采购项目技术、服务、合同内容条款及其他商务要求</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_Toc10231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16</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07E87FE1">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_Toc31105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第六章  谈判内容、谈判过程中可</w:t>
      </w:r>
      <w:r>
        <w:rPr>
          <w:rFonts w:hint="eastAsia" w:ascii="仿宋" w:hAnsi="仿宋" w:eastAsia="仿宋" w:cs="仿宋"/>
          <w:b w:val="0"/>
          <w:bCs w:val="0"/>
          <w:color w:val="auto"/>
          <w:szCs w:val="32"/>
          <w:highlight w:val="none"/>
          <w:lang w:eastAsia="zh-CN"/>
        </w:rPr>
        <w:t>能</w:t>
      </w:r>
      <w:r>
        <w:rPr>
          <w:rFonts w:hint="eastAsia" w:ascii="仿宋" w:hAnsi="仿宋" w:eastAsia="仿宋" w:cs="仿宋"/>
          <w:b w:val="0"/>
          <w:bCs w:val="0"/>
          <w:color w:val="auto"/>
          <w:szCs w:val="32"/>
          <w:highlight w:val="none"/>
        </w:rPr>
        <w:t>实质性变动的内容</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_Toc31105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18</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7009616D">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_Toc28166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第七章  响应文件格式</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_Toc28166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19</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153525B8">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_Toc16507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第八章  评审方法</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_Toc16507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31</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63DC5E09">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_Toc14017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第九章  采购合同（草案）</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_Toc14017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36</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0ACE651F">
      <w:pPr>
        <w:pStyle w:val="19"/>
        <w:tabs>
          <w:tab w:val="right" w:leader="dot" w:pos="9746"/>
        </w:tabs>
        <w:rPr>
          <w:rFonts w:hint="eastAsia" w:ascii="仿宋" w:hAnsi="仿宋" w:eastAsia="仿宋" w:cs="仿宋"/>
          <w:b w:val="0"/>
          <w:bCs w:val="0"/>
          <w:caps/>
          <w:color w:val="auto"/>
          <w:szCs w:val="20"/>
          <w:highlight w:val="none"/>
          <w:lang w:val="en-US" w:eastAsia="zh-CN"/>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_Toc14017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w:t>
      </w:r>
      <w:r>
        <w:rPr>
          <w:rFonts w:hint="eastAsia" w:ascii="仿宋" w:hAnsi="仿宋" w:eastAsia="仿宋" w:cs="仿宋"/>
          <w:b w:val="0"/>
          <w:bCs w:val="0"/>
          <w:color w:val="auto"/>
          <w:szCs w:val="32"/>
          <w:highlight w:val="none"/>
          <w:lang w:eastAsia="zh-CN"/>
        </w:rPr>
        <w:t>十</w:t>
      </w:r>
      <w:r>
        <w:rPr>
          <w:rFonts w:hint="eastAsia" w:ascii="仿宋" w:hAnsi="仿宋" w:eastAsia="仿宋" w:cs="仿宋"/>
          <w:b w:val="0"/>
          <w:bCs w:val="0"/>
          <w:color w:val="auto"/>
          <w:szCs w:val="32"/>
          <w:highlight w:val="none"/>
        </w:rPr>
        <w:t xml:space="preserve">章  </w:t>
      </w:r>
      <w:r>
        <w:rPr>
          <w:rFonts w:hint="eastAsia" w:ascii="仿宋" w:hAnsi="仿宋" w:eastAsia="仿宋" w:cs="仿宋"/>
          <w:b w:val="0"/>
          <w:bCs w:val="0"/>
          <w:color w:val="auto"/>
          <w:szCs w:val="32"/>
          <w:highlight w:val="none"/>
          <w:lang w:eastAsia="zh-CN"/>
        </w:rPr>
        <w:t>附件</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lang w:val="en-US" w:eastAsia="zh-CN"/>
        </w:rPr>
        <w:t>3</w:t>
      </w:r>
      <w:r>
        <w:rPr>
          <w:rFonts w:hint="eastAsia" w:ascii="仿宋" w:hAnsi="仿宋" w:eastAsia="仿宋" w:cs="仿宋"/>
          <w:b w:val="0"/>
          <w:bCs w:val="0"/>
          <w:caps/>
          <w:color w:val="auto"/>
          <w:szCs w:val="20"/>
          <w:highlight w:val="none"/>
        </w:rPr>
        <w:fldChar w:fldCharType="end"/>
      </w:r>
      <w:r>
        <w:rPr>
          <w:rFonts w:hint="eastAsia" w:ascii="仿宋" w:hAnsi="仿宋" w:eastAsia="仿宋" w:cs="仿宋"/>
          <w:b w:val="0"/>
          <w:bCs w:val="0"/>
          <w:caps/>
          <w:color w:val="auto"/>
          <w:szCs w:val="20"/>
          <w:highlight w:val="none"/>
          <w:lang w:val="en-US" w:eastAsia="zh-CN"/>
        </w:rPr>
        <w:t>9</w:t>
      </w:r>
    </w:p>
    <w:p w14:paraId="1048BBAD">
      <w:pPr>
        <w:pStyle w:val="19"/>
        <w:tabs>
          <w:tab w:val="right" w:leader="dot" w:pos="9746"/>
        </w:tabs>
        <w:rPr>
          <w:rFonts w:hint="eastAsia" w:ascii="仿宋" w:hAnsi="仿宋" w:eastAsia="仿宋" w:cs="仿宋"/>
          <w:b w:val="0"/>
          <w:bCs w:val="0"/>
          <w:caps/>
          <w:color w:val="auto"/>
          <w:szCs w:val="20"/>
          <w:highlight w:val="none"/>
        </w:rPr>
      </w:pPr>
    </w:p>
    <w:p w14:paraId="450A442D">
      <w:pPr>
        <w:rPr>
          <w:rFonts w:hint="eastAsia"/>
          <w:color w:val="auto"/>
          <w:highlight w:val="none"/>
        </w:rPr>
      </w:pPr>
    </w:p>
    <w:p w14:paraId="46750593">
      <w:pPr>
        <w:rPr>
          <w:rFonts w:hint="eastAsia" w:ascii="仿宋" w:hAnsi="仿宋" w:eastAsia="仿宋" w:cs="仿宋"/>
          <w:color w:val="auto"/>
          <w:highlight w:val="none"/>
        </w:rPr>
      </w:pPr>
      <w:r>
        <w:rPr>
          <w:rFonts w:hint="eastAsia" w:ascii="仿宋" w:hAnsi="仿宋" w:eastAsia="仿宋" w:cs="仿宋"/>
          <w:b w:val="0"/>
          <w:bCs w:val="0"/>
          <w:caps/>
          <w:color w:val="auto"/>
          <w:szCs w:val="20"/>
          <w:highlight w:val="none"/>
        </w:rPr>
        <w:fldChar w:fldCharType="end"/>
      </w:r>
    </w:p>
    <w:p w14:paraId="1969BBB8">
      <w:pPr>
        <w:jc w:val="left"/>
        <w:rPr>
          <w:rFonts w:hint="eastAsia" w:ascii="仿宋" w:hAnsi="仿宋" w:eastAsia="仿宋" w:cs="仿宋"/>
          <w:color w:val="auto"/>
          <w:sz w:val="32"/>
          <w:szCs w:val="32"/>
          <w:highlight w:val="none"/>
        </w:rPr>
      </w:pPr>
    </w:p>
    <w:p w14:paraId="2FB8C0BF">
      <w:pPr>
        <w:pStyle w:val="2"/>
        <w:spacing w:line="240" w:lineRule="auto"/>
        <w:jc w:val="center"/>
        <w:rPr>
          <w:rFonts w:hint="eastAsia" w:ascii="仿宋" w:hAnsi="仿宋" w:eastAsia="仿宋" w:cs="仿宋"/>
          <w:color w:val="auto"/>
          <w:sz w:val="32"/>
          <w:szCs w:val="32"/>
          <w:highlight w:val="none"/>
        </w:rPr>
        <w:sectPr>
          <w:footerReference r:id="rId7" w:type="first"/>
          <w:footerReference r:id="rId6" w:type="default"/>
          <w:pgSz w:w="11906" w:h="16838"/>
          <w:pgMar w:top="1440" w:right="1080" w:bottom="1440" w:left="1080" w:header="851" w:footer="992" w:gutter="0"/>
          <w:pgNumType w:fmt="decimal" w:start="1"/>
          <w:cols w:space="720" w:num="1"/>
          <w:docGrid w:type="lines" w:linePitch="312" w:charSpace="0"/>
        </w:sectPr>
      </w:pPr>
      <w:bookmarkStart w:id="0" w:name="_Toc21350"/>
      <w:bookmarkStart w:id="1" w:name="_Toc509380473"/>
      <w:bookmarkStart w:id="2" w:name="_Toc498592998"/>
      <w:bookmarkStart w:id="3" w:name="_Toc498593023"/>
    </w:p>
    <w:p w14:paraId="19ED0D1D">
      <w:pPr>
        <w:pStyle w:val="2"/>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谈判邀请</w:t>
      </w:r>
      <w:bookmarkEnd w:id="0"/>
      <w:bookmarkEnd w:id="1"/>
      <w:bookmarkEnd w:id="2"/>
      <w:bookmarkEnd w:id="3"/>
    </w:p>
    <w:p w14:paraId="1479699D">
      <w:pPr>
        <w:spacing w:line="400" w:lineRule="exact"/>
        <w:rPr>
          <w:rFonts w:hint="eastAsia" w:ascii="仿宋" w:hAnsi="仿宋" w:eastAsia="仿宋" w:cs="仿宋"/>
          <w:color w:val="auto"/>
          <w:w w:val="90"/>
          <w:szCs w:val="21"/>
          <w:highlight w:val="none"/>
        </w:rPr>
      </w:pPr>
      <w:r>
        <w:rPr>
          <w:rFonts w:hint="eastAsia" w:ascii="仿宋" w:hAnsi="仿宋" w:eastAsia="仿宋" w:cs="仿宋"/>
          <w:color w:val="auto"/>
          <w:w w:val="90"/>
          <w:szCs w:val="21"/>
          <w:highlight w:val="none"/>
        </w:rPr>
        <w:t>采购人委托采购代理机构拟对下述项目采用竞争性谈判采购方式进行采购，兹邀请符合本次采购要求的供应商参加本次采购活动。</w:t>
      </w:r>
    </w:p>
    <w:p w14:paraId="19948C1D">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采购项目基本情况</w:t>
      </w:r>
    </w:p>
    <w:p w14:paraId="1801C09E">
      <w:pPr>
        <w:pStyle w:val="54"/>
        <w:numPr>
          <w:ilvl w:val="1"/>
          <w:numId w:val="1"/>
        </w:numPr>
        <w:spacing w:line="400" w:lineRule="exact"/>
        <w:ind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none"/>
        </w:rPr>
        <w:t>：</w:t>
      </w:r>
      <w:r>
        <w:rPr>
          <w:rFonts w:hint="eastAsia" w:ascii="仿宋" w:hAnsi="仿宋" w:eastAsia="仿宋" w:cs="仿宋"/>
          <w:color w:val="auto"/>
          <w:szCs w:val="21"/>
          <w:highlight w:val="none"/>
          <w:u w:val="single"/>
          <w:lang w:eastAsia="zh-CN"/>
        </w:rPr>
        <w:t>XYXG2025031</w:t>
      </w:r>
    </w:p>
    <w:p w14:paraId="0901C12E">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lang w:val="en-US" w:eastAsia="zh-CN"/>
        </w:rPr>
        <w:t>自贡市航空产业园产教融合实训基地项目社会稳定性评估报告编制服务项目</w:t>
      </w:r>
    </w:p>
    <w:p w14:paraId="05F31FBD">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项目要求：见第五章</w:t>
      </w:r>
    </w:p>
    <w:p w14:paraId="19A07FAF">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资金情况</w:t>
      </w:r>
    </w:p>
    <w:p w14:paraId="0123016D">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w:t>
      </w:r>
      <w:r>
        <w:rPr>
          <w:rFonts w:hint="eastAsia" w:ascii="仿宋" w:hAnsi="仿宋" w:eastAsia="仿宋" w:cs="仿宋"/>
          <w:color w:val="auto"/>
          <w:szCs w:val="21"/>
          <w:highlight w:val="none"/>
          <w:u w:val="single"/>
          <w:lang w:val="en-US" w:eastAsia="zh-CN"/>
        </w:rPr>
        <w:t>80000.00元（大写：捌万元整）</w:t>
      </w:r>
    </w:p>
    <w:p w14:paraId="468F09FC">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w:t>
      </w:r>
      <w:r>
        <w:rPr>
          <w:rFonts w:hint="eastAsia" w:ascii="仿宋" w:hAnsi="仿宋" w:eastAsia="仿宋" w:cs="仿宋"/>
          <w:color w:val="auto"/>
          <w:szCs w:val="21"/>
          <w:highlight w:val="none"/>
          <w:u w:val="single"/>
          <w:lang w:val="en-US" w:eastAsia="zh-CN"/>
        </w:rPr>
        <w:t>80000.00元（大写：捌万元整）</w:t>
      </w:r>
    </w:p>
    <w:p w14:paraId="49F0176D">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邀请供应商</w:t>
      </w:r>
    </w:p>
    <w:p w14:paraId="13A68238">
      <w:pPr>
        <w:numPr>
          <w:ilvl w:val="0"/>
          <w:numId w:val="0"/>
        </w:numPr>
        <w:spacing w:line="400" w:lineRule="exact"/>
        <w:ind w:lef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本次采购活动通过以下方式邀请不少于3家符合相应资格条件的供应商参与：</w:t>
      </w:r>
    </w:p>
    <w:p w14:paraId="0B527DE7">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00FE"/>
      </w:r>
      <w:r>
        <w:rPr>
          <w:rFonts w:hint="eastAsia" w:ascii="仿宋" w:hAnsi="仿宋" w:eastAsia="仿宋" w:cs="仿宋"/>
          <w:color w:val="auto"/>
          <w:szCs w:val="21"/>
          <w:highlight w:val="none"/>
        </w:rPr>
        <w:t xml:space="preserve">  发布公告。公告媒介：</w:t>
      </w:r>
      <w:r>
        <w:rPr>
          <w:rFonts w:hint="eastAsia" w:ascii="仿宋" w:hAnsi="仿宋" w:eastAsia="仿宋" w:cs="仿宋"/>
          <w:color w:val="auto"/>
          <w:szCs w:val="21"/>
          <w:highlight w:val="none"/>
          <w:lang w:eastAsia="zh-CN"/>
        </w:rPr>
        <w:t>四川招投标网（www.scbid.com）</w:t>
      </w:r>
      <w:r>
        <w:rPr>
          <w:rFonts w:hint="eastAsia" w:ascii="仿宋" w:hAnsi="仿宋" w:eastAsia="仿宋" w:cs="仿宋"/>
          <w:color w:val="auto"/>
          <w:szCs w:val="21"/>
          <w:highlight w:val="none"/>
        </w:rPr>
        <w:t>。</w:t>
      </w:r>
    </w:p>
    <w:p w14:paraId="2D462C2C">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F0A8"/>
      </w:r>
      <w:r>
        <w:rPr>
          <w:rFonts w:hint="eastAsia" w:ascii="仿宋" w:hAnsi="仿宋" w:eastAsia="仿宋" w:cs="仿宋"/>
          <w:color w:val="auto"/>
          <w:szCs w:val="21"/>
          <w:highlight w:val="none"/>
        </w:rPr>
        <w:t xml:space="preserve">  从省级以上财政部门建立的供应商库中随机抽取。</w:t>
      </w:r>
    </w:p>
    <w:p w14:paraId="00AFBF89">
      <w:pPr>
        <w:pStyle w:val="6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 xml:space="preserve">  采购人和评审专家分别书面推荐。</w:t>
      </w:r>
    </w:p>
    <w:p w14:paraId="277741E9">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供应商的资格要求</w:t>
      </w:r>
    </w:p>
    <w:p w14:paraId="3CC3A7E9">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见第三章。</w:t>
      </w:r>
    </w:p>
    <w:p w14:paraId="643300FA">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获取采购文件</w:t>
      </w:r>
    </w:p>
    <w:p w14:paraId="0AA1B624">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获取时间：</w:t>
      </w:r>
      <w:r>
        <w:rPr>
          <w:rFonts w:hint="eastAsia" w:ascii="仿宋" w:hAnsi="仿宋" w:eastAsia="仿宋" w:cs="仿宋"/>
          <w:color w:val="auto"/>
          <w:szCs w:val="21"/>
          <w:highlight w:val="none"/>
          <w:lang w:val="en-US" w:eastAsia="zh-CN"/>
        </w:rPr>
        <w:t>2025年7月9日-2025年7月11日，上午09:00-12：00，下午14:00-17:00（北京时间，法定节假日除外）</w:t>
      </w:r>
    </w:p>
    <w:p w14:paraId="7F71B781">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获取地点：</w:t>
      </w:r>
      <w:r>
        <w:rPr>
          <w:rFonts w:hint="eastAsia" w:ascii="仿宋" w:hAnsi="仿宋" w:eastAsia="仿宋" w:cs="仿宋"/>
          <w:color w:val="auto"/>
          <w:szCs w:val="21"/>
          <w:highlight w:val="none"/>
          <w:lang w:val="en-US" w:eastAsia="zh-CN"/>
        </w:rPr>
        <w:t>四川省自贡市自流井区华园街春华38栋201号（梨园市场二楼）四川鑫益工程项目管理有限公司。</w:t>
      </w:r>
    </w:p>
    <w:p w14:paraId="4DFA26ED">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567" w:hanging="56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获取方式：</w:t>
      </w:r>
      <w:r>
        <w:rPr>
          <w:rFonts w:hint="eastAsia" w:ascii="仿宋" w:hAnsi="仿宋" w:eastAsia="仿宋" w:cs="仿宋"/>
          <w:color w:val="auto"/>
          <w:szCs w:val="21"/>
          <w:highlight w:val="none"/>
          <w:lang w:val="en-US" w:eastAsia="zh-CN"/>
        </w:rPr>
        <w:t>现场或网络方式获取，文件售价：人民币300元/份（除非本项目终止，谈判文件售后不退，谈判资格不能转让）。未购买谈判文件并登记备案的供应商不得参加本项目谈判。</w:t>
      </w:r>
    </w:p>
    <w:p w14:paraId="2230EA7D">
      <w:pPr>
        <w:pStyle w:val="54"/>
        <w:numPr>
          <w:ilvl w:val="0"/>
          <w:numId w:val="2"/>
        </w:numPr>
        <w:spacing w:line="400" w:lineRule="exact"/>
        <w:ind w:left="425" w:leftChars="0" w:hanging="425"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购买谈判文件须提供的资料：供应商为法人或者其他组织的，须提供报名登记表（加盖单位鲜章）、单位介绍信原件（加盖单位鲜章）、经办人身份证明复印件（加盖单位鲜章）；供应商为自然人的，须提供报名登记表（加盖指印）、本人身份证明材料复印件（加盖指印）。</w:t>
      </w:r>
    </w:p>
    <w:p w14:paraId="49394E13">
      <w:pPr>
        <w:pStyle w:val="54"/>
        <w:numPr>
          <w:ilvl w:val="0"/>
          <w:numId w:val="2"/>
        </w:numPr>
        <w:spacing w:line="400" w:lineRule="exact"/>
        <w:ind w:left="425" w:leftChars="0" w:hanging="425"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网络办理：</w:t>
      </w:r>
      <w:r>
        <w:rPr>
          <w:rFonts w:hint="eastAsia" w:ascii="仿宋" w:hAnsi="仿宋" w:eastAsia="仿宋" w:cs="仿宋"/>
          <w:color w:val="auto"/>
          <w:szCs w:val="21"/>
          <w:highlight w:val="none"/>
          <w:lang w:val="en-US" w:eastAsia="zh-CN"/>
        </w:rPr>
        <w:fldChar w:fldCharType="begin"/>
      </w:r>
      <w:r>
        <w:rPr>
          <w:rFonts w:hint="eastAsia" w:ascii="仿宋" w:hAnsi="仿宋" w:eastAsia="仿宋" w:cs="仿宋"/>
          <w:color w:val="auto"/>
          <w:szCs w:val="21"/>
          <w:highlight w:val="none"/>
          <w:lang w:val="en-US" w:eastAsia="zh-CN"/>
        </w:rPr>
        <w:instrText xml:space="preserve"> HYPERLINK "mailto:将购买招标文件需提供的资料发送至529570210@qq.com邮箱，后电话联系我司工作人员（卢女士" </w:instrText>
      </w:r>
      <w:r>
        <w:rPr>
          <w:rFonts w:hint="eastAsia" w:ascii="仿宋" w:hAnsi="仿宋" w:eastAsia="仿宋" w:cs="仿宋"/>
          <w:color w:val="auto"/>
          <w:szCs w:val="21"/>
          <w:highlight w:val="none"/>
          <w:lang w:val="en-US" w:eastAsia="zh-CN"/>
        </w:rPr>
        <w:fldChar w:fldCharType="separate"/>
      </w:r>
      <w:r>
        <w:rPr>
          <w:rFonts w:hint="eastAsia" w:ascii="仿宋" w:hAnsi="仿宋" w:eastAsia="仿宋" w:cs="仿宋"/>
          <w:color w:val="auto"/>
          <w:szCs w:val="21"/>
          <w:highlight w:val="none"/>
          <w:lang w:val="en-US" w:eastAsia="zh-CN"/>
        </w:rPr>
        <w:t>将购买谈判文件须提供的资料扫描件发送至scxygcxmgl@126.com邮箱，后电话联系我司工作人员（邱</w:t>
      </w:r>
      <w:r>
        <w:rPr>
          <w:rFonts w:hint="eastAsia" w:ascii="仿宋" w:hAnsi="仿宋" w:eastAsia="仿宋" w:cs="仿宋"/>
          <w:color w:val="auto"/>
          <w:szCs w:val="21"/>
          <w:highlight w:val="none"/>
          <w:lang w:val="en-US" w:eastAsia="zh-CN"/>
        </w:rPr>
        <w:fldChar w:fldCharType="end"/>
      </w:r>
      <w:r>
        <w:rPr>
          <w:rFonts w:hint="eastAsia" w:ascii="仿宋" w:hAnsi="仿宋" w:eastAsia="仿宋" w:cs="仿宋"/>
          <w:color w:val="auto"/>
          <w:szCs w:val="21"/>
          <w:highlight w:val="none"/>
          <w:lang w:val="en-US" w:eastAsia="zh-CN"/>
        </w:rPr>
        <w:t>先生 18180926606）完成报名登记。</w:t>
      </w:r>
    </w:p>
    <w:p w14:paraId="010ECB87">
      <w:pPr>
        <w:pStyle w:val="54"/>
        <w:numPr>
          <w:ilvl w:val="0"/>
          <w:numId w:val="2"/>
        </w:numPr>
        <w:spacing w:line="400" w:lineRule="exact"/>
        <w:ind w:left="425" w:leftChars="0" w:hanging="425"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标书款收取方式：（请在转账时备注公司名称）</w:t>
      </w:r>
    </w:p>
    <w:p w14:paraId="0757727F">
      <w:pPr>
        <w:pStyle w:val="54"/>
        <w:numPr>
          <w:ilvl w:val="0"/>
          <w:numId w:val="3"/>
        </w:numPr>
        <w:spacing w:line="240" w:lineRule="auto"/>
        <w:ind w:left="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微信二维码；</w:t>
      </w:r>
    </w:p>
    <w:p w14:paraId="758FAE39">
      <w:pPr>
        <w:pStyle w:val="54"/>
        <w:numPr>
          <w:ilvl w:val="0"/>
          <w:numId w:val="0"/>
        </w:numPr>
        <w:spacing w:line="240" w:lineRule="auto"/>
        <w:ind w:lef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en-US" w:eastAsia="zh-CN"/>
        </w:rPr>
        <w:drawing>
          <wp:inline distT="0" distB="0" distL="114300" distR="114300">
            <wp:extent cx="1143000" cy="1558290"/>
            <wp:effectExtent l="0" t="0" r="0" b="11430"/>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10"/>
                    <a:stretch>
                      <a:fillRect/>
                    </a:stretch>
                  </pic:blipFill>
                  <pic:spPr>
                    <a:xfrm>
                      <a:off x="0" y="0"/>
                      <a:ext cx="1143000" cy="1558290"/>
                    </a:xfrm>
                    <a:prstGeom prst="rect">
                      <a:avLst/>
                    </a:prstGeom>
                  </pic:spPr>
                </pic:pic>
              </a:graphicData>
            </a:graphic>
          </wp:inline>
        </w:drawing>
      </w:r>
    </w:p>
    <w:p w14:paraId="2BBAB923">
      <w:pPr>
        <w:pStyle w:val="54"/>
        <w:numPr>
          <w:ilvl w:val="0"/>
          <w:numId w:val="3"/>
        </w:numPr>
        <w:spacing w:line="400" w:lineRule="exact"/>
        <w:ind w:left="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银行转账或电汇。</w:t>
      </w:r>
    </w:p>
    <w:p w14:paraId="741B0518">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收款单位：四川鑫益工程项目管理有限公司；</w:t>
      </w:r>
    </w:p>
    <w:p w14:paraId="321310D9">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账    号：2000167882000014；</w:t>
      </w:r>
    </w:p>
    <w:p w14:paraId="2DB5CAD3">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开 户 行：四川天府银行股份有限公司自贡分行。</w:t>
      </w:r>
    </w:p>
    <w:p w14:paraId="33784723">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以银行转账或电汇方式缴纳标书款的，交款时间以银行下账时间为准，下账截止时间同谈判文件发售截止时间。</w:t>
      </w:r>
    </w:p>
    <w:p w14:paraId="6B43C35D">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响应文件提交</w:t>
      </w:r>
    </w:p>
    <w:p w14:paraId="5457FAC4">
      <w:pPr>
        <w:pStyle w:val="54"/>
        <w:numPr>
          <w:ilvl w:val="1"/>
          <w:numId w:val="1"/>
        </w:numPr>
        <w:spacing w:line="400" w:lineRule="exact"/>
        <w:ind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截止时间：</w:t>
      </w:r>
      <w:r>
        <w:rPr>
          <w:rFonts w:hint="eastAsia" w:ascii="仿宋" w:hAnsi="仿宋" w:eastAsia="仿宋" w:cs="仿宋"/>
          <w:color w:val="auto"/>
          <w:szCs w:val="21"/>
          <w:highlight w:val="none"/>
          <w:lang w:eastAsia="zh-CN"/>
        </w:rPr>
        <w:t>2025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（北京时间）</w:t>
      </w:r>
      <w:bookmarkStart w:id="50" w:name="_GoBack"/>
      <w:bookmarkEnd w:id="50"/>
    </w:p>
    <w:p w14:paraId="3D58CF98">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提交</w:t>
      </w:r>
      <w:r>
        <w:rPr>
          <w:rFonts w:hint="eastAsia" w:ascii="仿宋" w:hAnsi="仿宋" w:eastAsia="仿宋" w:cs="仿宋"/>
          <w:color w:val="auto"/>
          <w:szCs w:val="21"/>
          <w:highlight w:val="none"/>
          <w:lang w:eastAsia="zh-CN"/>
        </w:rPr>
        <w:t>地点</w:t>
      </w:r>
      <w:r>
        <w:rPr>
          <w:rFonts w:hint="eastAsia" w:ascii="仿宋" w:hAnsi="仿宋" w:eastAsia="仿宋" w:cs="仿宋"/>
          <w:color w:val="auto"/>
          <w:szCs w:val="21"/>
          <w:highlight w:val="none"/>
        </w:rPr>
        <w:t>：四川省自贡市沿滩区仙市镇盐仙大道八号</w:t>
      </w:r>
      <w:r>
        <w:rPr>
          <w:rFonts w:hint="eastAsia" w:ascii="仿宋" w:hAnsi="仿宋" w:eastAsia="仿宋" w:cs="仿宋"/>
          <w:color w:val="auto"/>
          <w:szCs w:val="21"/>
          <w:highlight w:val="none"/>
          <w:lang w:val="en-US" w:eastAsia="zh-CN"/>
        </w:rPr>
        <w:t>开标厅</w:t>
      </w:r>
      <w:r>
        <w:rPr>
          <w:rFonts w:hint="eastAsia" w:ascii="仿宋" w:hAnsi="仿宋" w:eastAsia="仿宋" w:cs="仿宋"/>
          <w:color w:val="auto"/>
          <w:szCs w:val="21"/>
          <w:highlight w:val="none"/>
          <w:lang w:eastAsia="zh-CN"/>
        </w:rPr>
        <w:t>。逾期送达或未按谈判文件要求进行密封标注的响应文件，采购人/采购代理机构恕不接收。本次采购不接收邮寄的响应文件。</w:t>
      </w:r>
    </w:p>
    <w:p w14:paraId="6928A55C">
      <w:pPr>
        <w:pStyle w:val="54"/>
        <w:numPr>
          <w:ilvl w:val="0"/>
          <w:numId w:val="1"/>
        </w:numPr>
        <w:spacing w:line="400" w:lineRule="exact"/>
        <w:ind w:firstLineChars="0"/>
        <w:rPr>
          <w:rFonts w:hint="eastAsia" w:ascii="仿宋" w:hAnsi="仿宋" w:eastAsia="仿宋" w:cs="仿宋"/>
          <w:b/>
          <w:bCs/>
          <w:color w:val="auto"/>
          <w:kern w:val="44"/>
          <w:sz w:val="32"/>
          <w:szCs w:val="32"/>
          <w:highlight w:val="none"/>
        </w:rPr>
      </w:pPr>
      <w:r>
        <w:rPr>
          <w:rFonts w:hint="eastAsia" w:ascii="仿宋" w:hAnsi="仿宋" w:eastAsia="仿宋" w:cs="仿宋"/>
          <w:b/>
          <w:color w:val="auto"/>
          <w:szCs w:val="21"/>
          <w:highlight w:val="none"/>
        </w:rPr>
        <w:t>响应文件开启</w:t>
      </w:r>
    </w:p>
    <w:p w14:paraId="6EA49282">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开启时间：</w:t>
      </w:r>
      <w:r>
        <w:rPr>
          <w:rFonts w:hint="eastAsia" w:ascii="仿宋" w:hAnsi="仿宋" w:eastAsia="仿宋" w:cs="仿宋"/>
          <w:color w:val="auto"/>
          <w:szCs w:val="21"/>
          <w:highlight w:val="none"/>
          <w:lang w:eastAsia="zh-CN"/>
        </w:rPr>
        <w:t>2025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北京时间）在谈判地点开启。</w:t>
      </w:r>
    </w:p>
    <w:p w14:paraId="17732FF7">
      <w:pPr>
        <w:numPr>
          <w:ilvl w:val="0"/>
          <w:numId w:val="1"/>
        </w:numPr>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谈判</w:t>
      </w:r>
      <w:r>
        <w:rPr>
          <w:rFonts w:hint="eastAsia" w:ascii="仿宋" w:hAnsi="仿宋" w:eastAsia="仿宋" w:cs="仿宋"/>
          <w:b/>
          <w:color w:val="auto"/>
          <w:szCs w:val="21"/>
          <w:highlight w:val="none"/>
          <w:lang w:eastAsia="zh-CN"/>
        </w:rPr>
        <w:t>地点</w:t>
      </w:r>
    </w:p>
    <w:p w14:paraId="52DF8E85">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w:t>
      </w:r>
      <w:r>
        <w:rPr>
          <w:rFonts w:hint="eastAsia" w:ascii="仿宋" w:hAnsi="仿宋" w:eastAsia="仿宋" w:cs="仿宋"/>
          <w:color w:val="auto"/>
          <w:szCs w:val="21"/>
          <w:highlight w:val="none"/>
          <w:lang w:eastAsia="zh-CN"/>
        </w:rPr>
        <w:t>地点</w:t>
      </w:r>
      <w:r>
        <w:rPr>
          <w:rFonts w:hint="eastAsia" w:ascii="仿宋" w:hAnsi="仿宋" w:eastAsia="仿宋" w:cs="仿宋"/>
          <w:color w:val="auto"/>
          <w:szCs w:val="21"/>
          <w:highlight w:val="none"/>
        </w:rPr>
        <w:t>：四川省自贡市沿滩区仙市镇盐仙大道八号</w:t>
      </w:r>
      <w:r>
        <w:rPr>
          <w:rFonts w:hint="eastAsia" w:ascii="仿宋" w:hAnsi="仿宋" w:eastAsia="仿宋" w:cs="仿宋"/>
          <w:color w:val="auto"/>
          <w:szCs w:val="21"/>
          <w:highlight w:val="none"/>
          <w:lang w:val="en-US" w:eastAsia="zh-CN"/>
        </w:rPr>
        <w:t>评审室</w:t>
      </w:r>
      <w:r>
        <w:rPr>
          <w:rFonts w:hint="eastAsia" w:ascii="仿宋" w:hAnsi="仿宋" w:eastAsia="仿宋" w:cs="仿宋"/>
          <w:color w:val="auto"/>
          <w:szCs w:val="21"/>
          <w:highlight w:val="none"/>
          <w:lang w:eastAsia="zh-CN"/>
        </w:rPr>
        <w:t>。</w:t>
      </w:r>
    </w:p>
    <w:p w14:paraId="5C943949">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联系方式</w:t>
      </w:r>
    </w:p>
    <w:p w14:paraId="70F6D7C2">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采购人联系方式</w:t>
      </w:r>
    </w:p>
    <w:p w14:paraId="65B407F6">
      <w:pPr>
        <w:pStyle w:val="54"/>
        <w:spacing w:line="400" w:lineRule="exact"/>
        <w:ind w:left="567"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lang w:eastAsia="zh-CN"/>
        </w:rPr>
        <w:t>自贡市教体建设开发有限公司</w:t>
      </w:r>
    </w:p>
    <w:p w14:paraId="4C05D0E2">
      <w:pPr>
        <w:pStyle w:val="54"/>
        <w:spacing w:line="400" w:lineRule="exact"/>
        <w:ind w:left="567"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四川省自贡市自流井区毛家坝汇兴路2号</w:t>
      </w:r>
    </w:p>
    <w:p w14:paraId="38E222CB">
      <w:pPr>
        <w:pStyle w:val="54"/>
        <w:spacing w:line="400" w:lineRule="exact"/>
        <w:ind w:left="567" w:firstLine="0" w:firstLineChars="0"/>
        <w:rPr>
          <w:rFonts w:hint="default" w:ascii="仿宋" w:hAnsi="仿宋" w:eastAsia="仿宋" w:cs="仿宋"/>
          <w:color w:val="auto"/>
          <w:szCs w:val="21"/>
          <w:highlight w:val="none"/>
          <w:u w:val="single"/>
          <w:lang w:val="en-US"/>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lang w:val="en-US" w:eastAsia="zh-CN"/>
        </w:rPr>
        <w:t>陈老师</w:t>
      </w:r>
      <w:r>
        <w:rPr>
          <w:rFonts w:hint="eastAsia" w:ascii="仿宋" w:hAnsi="仿宋" w:eastAsia="仿宋" w:cs="仿宋"/>
          <w:color w:val="auto"/>
          <w:szCs w:val="21"/>
          <w:highlight w:val="none"/>
          <w:u w:val="single"/>
          <w:lang w:eastAsia="zh-CN"/>
        </w:rPr>
        <w:t>；0813-</w:t>
      </w:r>
      <w:r>
        <w:rPr>
          <w:rFonts w:hint="eastAsia" w:ascii="仿宋" w:hAnsi="仿宋" w:eastAsia="仿宋" w:cs="仿宋"/>
          <w:color w:val="auto"/>
          <w:szCs w:val="21"/>
          <w:highlight w:val="none"/>
          <w:u w:val="single"/>
          <w:lang w:val="en-US" w:eastAsia="zh-CN"/>
        </w:rPr>
        <w:t>8101388</w:t>
      </w:r>
    </w:p>
    <w:p w14:paraId="400B3461">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采购代理机构联系方式</w:t>
      </w:r>
    </w:p>
    <w:p w14:paraId="67E9C000">
      <w:pPr>
        <w:pStyle w:val="54"/>
        <w:spacing w:line="400" w:lineRule="exact"/>
        <w:ind w:left="567"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lang w:val="en-US" w:eastAsia="zh-CN"/>
        </w:rPr>
        <w:t>四川鑫益工程项目管理有限公司</w:t>
      </w:r>
    </w:p>
    <w:p w14:paraId="0B03A4EC">
      <w:pPr>
        <w:pStyle w:val="54"/>
        <w:spacing w:line="400" w:lineRule="exact"/>
        <w:ind w:left="567"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lang w:val="en-US" w:eastAsia="zh-CN"/>
        </w:rPr>
        <w:t>四川省自贡市自流井区华园街春华38栋201号（梨园市场二楼）</w:t>
      </w:r>
    </w:p>
    <w:p w14:paraId="724E7FFC">
      <w:pPr>
        <w:pStyle w:val="54"/>
        <w:spacing w:line="400" w:lineRule="exact"/>
        <w:ind w:left="567" w:firstLine="0" w:firstLineChars="0"/>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lang w:eastAsia="zh-CN"/>
        </w:rPr>
        <w:t>邱先生</w:t>
      </w:r>
      <w:r>
        <w:rPr>
          <w:rFonts w:hint="eastAsia" w:ascii="仿宋" w:hAnsi="仿宋" w:eastAsia="仿宋" w:cs="仿宋"/>
          <w:color w:val="auto"/>
          <w:szCs w:val="21"/>
          <w:highlight w:val="none"/>
          <w:u w:val="single"/>
        </w:rPr>
        <w:t>；</w:t>
      </w:r>
      <w:bookmarkStart w:id="4" w:name="_Toc498593024"/>
      <w:bookmarkStart w:id="5" w:name="_Toc509380474"/>
      <w:bookmarkStart w:id="6" w:name="_Toc21349"/>
      <w:bookmarkStart w:id="7" w:name="_Toc498592999"/>
      <w:r>
        <w:rPr>
          <w:rFonts w:hint="eastAsia" w:ascii="仿宋" w:hAnsi="仿宋" w:eastAsia="仿宋" w:cs="仿宋"/>
          <w:color w:val="auto"/>
          <w:szCs w:val="21"/>
          <w:highlight w:val="none"/>
          <w:u w:val="single"/>
          <w:lang w:eastAsia="zh-CN"/>
        </w:rPr>
        <w:t>18180926606</w:t>
      </w:r>
    </w:p>
    <w:p w14:paraId="77A766E7">
      <w:pPr>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u w:val="single"/>
          <w:lang w:val="en-US" w:eastAsia="zh-CN"/>
        </w:rPr>
        <w:br w:type="page"/>
      </w:r>
    </w:p>
    <w:p w14:paraId="47898C08">
      <w:pPr>
        <w:pStyle w:val="54"/>
        <w:spacing w:line="400" w:lineRule="exact"/>
        <w:ind w:left="0" w:leftChars="0"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第二章  谈判须知</w:t>
      </w:r>
      <w:bookmarkEnd w:id="4"/>
      <w:bookmarkEnd w:id="5"/>
      <w:bookmarkEnd w:id="6"/>
      <w:bookmarkEnd w:id="7"/>
    </w:p>
    <w:p w14:paraId="1B8A0FBF">
      <w:pPr>
        <w:pStyle w:val="3"/>
        <w:numPr>
          <w:ilvl w:val="0"/>
          <w:numId w:val="0"/>
        </w:numPr>
        <w:ind w:left="420" w:leftChars="0" w:hanging="420" w:firstLineChars="0"/>
        <w:jc w:val="center"/>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(一)</w:t>
      </w:r>
      <w:r>
        <w:rPr>
          <w:rFonts w:hint="eastAsia" w:ascii="仿宋" w:hAnsi="仿宋" w:eastAsia="仿宋" w:cs="仿宋"/>
          <w:b w:val="0"/>
          <w:color w:val="auto"/>
          <w:sz w:val="28"/>
          <w:szCs w:val="28"/>
          <w:highlight w:val="none"/>
        </w:rPr>
        <w:t>须知前附表</w:t>
      </w:r>
    </w:p>
    <w:tbl>
      <w:tblPr>
        <w:tblStyle w:val="29"/>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57"/>
        <w:gridCol w:w="7275"/>
      </w:tblGrid>
      <w:tr w14:paraId="5631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1" w:type="pct"/>
            <w:vAlign w:val="center"/>
          </w:tcPr>
          <w:p w14:paraId="64F17934">
            <w:pPr>
              <w:widowControl/>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902" w:type="pct"/>
            <w:vAlign w:val="center"/>
          </w:tcPr>
          <w:p w14:paraId="3402FE1D">
            <w:pPr>
              <w:widowControl/>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须知事项</w:t>
            </w:r>
          </w:p>
        </w:tc>
        <w:tc>
          <w:tcPr>
            <w:tcW w:w="3736" w:type="pct"/>
            <w:vAlign w:val="center"/>
          </w:tcPr>
          <w:p w14:paraId="6854124C">
            <w:pPr>
              <w:widowControl/>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说明和要求</w:t>
            </w:r>
          </w:p>
        </w:tc>
      </w:tr>
      <w:tr w14:paraId="43EF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4434CA5D">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w:t>
            </w:r>
          </w:p>
        </w:tc>
        <w:tc>
          <w:tcPr>
            <w:tcW w:w="902" w:type="pct"/>
            <w:vAlign w:val="center"/>
          </w:tcPr>
          <w:p w14:paraId="60174826">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采购预算</w:t>
            </w:r>
          </w:p>
          <w:p w14:paraId="6EDDC32C">
            <w:pPr>
              <w:widowControl/>
              <w:spacing w:line="400" w:lineRule="exact"/>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(实质性要求)</w:t>
            </w:r>
          </w:p>
        </w:tc>
        <w:tc>
          <w:tcPr>
            <w:tcW w:w="3736" w:type="pct"/>
            <w:vAlign w:val="center"/>
          </w:tcPr>
          <w:p w14:paraId="596FF557">
            <w:pPr>
              <w:pStyle w:val="54"/>
              <w:widowControl/>
              <w:numPr>
                <w:ilvl w:val="0"/>
                <w:numId w:val="4"/>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预算金额：见第一章第2.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条。</w:t>
            </w:r>
          </w:p>
          <w:p w14:paraId="2AB8C1F9">
            <w:pPr>
              <w:pStyle w:val="54"/>
              <w:widowControl/>
              <w:numPr>
                <w:ilvl w:val="0"/>
                <w:numId w:val="4"/>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最后报价超过该预算金额的，响应无效。</w:t>
            </w:r>
          </w:p>
        </w:tc>
      </w:tr>
      <w:tr w14:paraId="6899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474B39B0">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w:t>
            </w:r>
          </w:p>
        </w:tc>
        <w:tc>
          <w:tcPr>
            <w:tcW w:w="902" w:type="pct"/>
            <w:vAlign w:val="center"/>
          </w:tcPr>
          <w:p w14:paraId="236DF9CD">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w:t>
            </w:r>
          </w:p>
          <w:p w14:paraId="51EBCD57">
            <w:pPr>
              <w:widowControl/>
              <w:spacing w:line="400" w:lineRule="exact"/>
              <w:jc w:val="center"/>
              <w:rPr>
                <w:rFonts w:hint="eastAsia" w:ascii="仿宋" w:hAnsi="仿宋" w:eastAsia="仿宋" w:cs="仿宋"/>
                <w:color w:val="auto"/>
                <w:highlight w:val="none"/>
              </w:rPr>
            </w:pPr>
            <w:r>
              <w:rPr>
                <w:rFonts w:hint="eastAsia" w:ascii="仿宋" w:hAnsi="仿宋" w:eastAsia="仿宋" w:cs="仿宋"/>
                <w:b/>
                <w:color w:val="auto"/>
                <w:szCs w:val="21"/>
                <w:highlight w:val="none"/>
              </w:rPr>
              <w:t>(实质性要求)</w:t>
            </w:r>
          </w:p>
        </w:tc>
        <w:tc>
          <w:tcPr>
            <w:tcW w:w="3736" w:type="pct"/>
            <w:vAlign w:val="center"/>
          </w:tcPr>
          <w:p w14:paraId="3F4B2B18">
            <w:pPr>
              <w:pStyle w:val="54"/>
              <w:widowControl/>
              <w:numPr>
                <w:ilvl w:val="0"/>
                <w:numId w:val="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最高限价：见第一章第2.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条。</w:t>
            </w:r>
          </w:p>
          <w:p w14:paraId="126D8F8F">
            <w:pPr>
              <w:pStyle w:val="54"/>
              <w:widowControl/>
              <w:numPr>
                <w:ilvl w:val="0"/>
                <w:numId w:val="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最后报价超过该最高限价的，响应无效。</w:t>
            </w:r>
          </w:p>
          <w:p w14:paraId="3D83FEA0">
            <w:pPr>
              <w:pStyle w:val="54"/>
              <w:widowControl/>
              <w:numPr>
                <w:ilvl w:val="0"/>
                <w:numId w:val="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p>
        </w:tc>
      </w:tr>
      <w:tr w14:paraId="18E3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AAB4343">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w:t>
            </w:r>
          </w:p>
        </w:tc>
        <w:tc>
          <w:tcPr>
            <w:tcW w:w="902" w:type="pct"/>
            <w:vAlign w:val="center"/>
          </w:tcPr>
          <w:p w14:paraId="53A0B369">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不正当竞争预防措施</w:t>
            </w:r>
          </w:p>
          <w:p w14:paraId="37C7BEAA">
            <w:pPr>
              <w:widowControl/>
              <w:spacing w:line="400" w:lineRule="exact"/>
              <w:jc w:val="center"/>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(实质性要求)</w:t>
            </w:r>
          </w:p>
        </w:tc>
        <w:tc>
          <w:tcPr>
            <w:tcW w:w="3736" w:type="pct"/>
            <w:vAlign w:val="center"/>
          </w:tcPr>
          <w:p w14:paraId="52EDD6A5">
            <w:pPr>
              <w:pStyle w:val="54"/>
              <w:widowControl/>
              <w:numPr>
                <w:ilvl w:val="0"/>
                <w:numId w:val="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小组认为供应商的报价明显低于其他实质性响应的供应商报价，有可能影响</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质量或者不能诚信履约的，应当要求其在合理的时间内（不少于30分钟）提供书面说明，必要时提交相关证明材料；供应商不能证明其报价合理性的，</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小组应当将其作为无效响应处理。</w:t>
            </w:r>
          </w:p>
          <w:p w14:paraId="28D3E8AC">
            <w:pPr>
              <w:pStyle w:val="54"/>
              <w:widowControl/>
              <w:numPr>
                <w:ilvl w:val="0"/>
                <w:numId w:val="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供应商应当在</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小组要求的时间内提交书面说明，否则响应无效。</w:t>
            </w:r>
          </w:p>
        </w:tc>
      </w:tr>
      <w:tr w14:paraId="3D52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6029F146">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w:t>
            </w:r>
          </w:p>
        </w:tc>
        <w:tc>
          <w:tcPr>
            <w:tcW w:w="902" w:type="pct"/>
            <w:vAlign w:val="center"/>
          </w:tcPr>
          <w:p w14:paraId="7E735F5B">
            <w:pPr>
              <w:widowControl/>
              <w:spacing w:line="4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本国</w:t>
            </w:r>
            <w:r>
              <w:rPr>
                <w:rFonts w:hint="eastAsia" w:ascii="仿宋" w:hAnsi="仿宋" w:eastAsia="仿宋" w:cs="仿宋"/>
                <w:color w:val="auto"/>
                <w:szCs w:val="21"/>
                <w:highlight w:val="none"/>
                <w:lang w:val="en-US" w:eastAsia="zh-CN"/>
              </w:rPr>
              <w:t>服务</w:t>
            </w:r>
          </w:p>
          <w:p w14:paraId="366F8E79">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66FB7FA0">
            <w:pPr>
              <w:pStyle w:val="54"/>
              <w:widowControl/>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本项目采购本国</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w:t>
            </w:r>
          </w:p>
        </w:tc>
      </w:tr>
      <w:tr w14:paraId="0AAB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61" w:type="pct"/>
            <w:vAlign w:val="center"/>
          </w:tcPr>
          <w:p w14:paraId="3D3777B0">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w:t>
            </w:r>
          </w:p>
        </w:tc>
        <w:tc>
          <w:tcPr>
            <w:tcW w:w="902" w:type="pct"/>
            <w:vAlign w:val="center"/>
          </w:tcPr>
          <w:p w14:paraId="7A990BF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保证金</w:t>
            </w:r>
          </w:p>
        </w:tc>
        <w:tc>
          <w:tcPr>
            <w:tcW w:w="3736" w:type="pct"/>
            <w:vAlign w:val="center"/>
          </w:tcPr>
          <w:p w14:paraId="5A1FE79A">
            <w:pPr>
              <w:spacing w:line="40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本项目不收取</w:t>
            </w:r>
            <w:r>
              <w:rPr>
                <w:rFonts w:hint="eastAsia" w:ascii="仿宋" w:hAnsi="仿宋" w:eastAsia="仿宋" w:cs="仿宋"/>
                <w:color w:val="auto"/>
                <w:szCs w:val="21"/>
                <w:highlight w:val="none"/>
                <w:lang w:eastAsia="zh-CN"/>
              </w:rPr>
              <w:t>谈判</w:t>
            </w:r>
            <w:r>
              <w:rPr>
                <w:rFonts w:hint="eastAsia" w:ascii="仿宋" w:hAnsi="仿宋" w:eastAsia="仿宋" w:cs="仿宋"/>
                <w:color w:val="auto"/>
                <w:highlight w:val="none"/>
              </w:rPr>
              <w:t>保证金。</w:t>
            </w:r>
          </w:p>
        </w:tc>
      </w:tr>
      <w:tr w14:paraId="24F6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0632EBB2">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w:t>
            </w:r>
          </w:p>
        </w:tc>
        <w:tc>
          <w:tcPr>
            <w:tcW w:w="902" w:type="pct"/>
            <w:vAlign w:val="center"/>
          </w:tcPr>
          <w:p w14:paraId="27700EA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3736" w:type="pct"/>
            <w:vAlign w:val="center"/>
          </w:tcPr>
          <w:p w14:paraId="1204A8DB">
            <w:pPr>
              <w:widowControl/>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F0FE"/>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本项目不收取履约保证金。</w:t>
            </w:r>
          </w:p>
          <w:p w14:paraId="4EAAE065">
            <w:pPr>
              <w:widowControl/>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F0A8"/>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本项目履约保证金为合同金额的XX%</w:t>
            </w:r>
            <w:r>
              <w:rPr>
                <w:rFonts w:hint="eastAsia" w:ascii="仿宋" w:hAnsi="仿宋" w:eastAsia="仿宋" w:cs="仿宋"/>
                <w:b/>
                <w:color w:val="auto"/>
                <w:szCs w:val="21"/>
                <w:highlight w:val="none"/>
              </w:rPr>
              <w:t>(实质性要求)</w:t>
            </w:r>
            <w:r>
              <w:rPr>
                <w:rFonts w:hint="eastAsia" w:ascii="仿宋" w:hAnsi="仿宋" w:eastAsia="仿宋" w:cs="仿宋"/>
                <w:color w:val="auto"/>
                <w:szCs w:val="21"/>
                <w:highlight w:val="none"/>
              </w:rPr>
              <w:t>。具体要求如下：</w:t>
            </w:r>
          </w:p>
          <w:p w14:paraId="4B5415CC">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成交供应商应在成交通知书发放后，采购合同签订前，向采购人交纳本项目合同金额的XX%（不超过10%）数额的履约保证金。</w:t>
            </w:r>
          </w:p>
          <w:p w14:paraId="2DB94C75">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交款方式：履约保证金可以以支票、汇票、本票或者金融机构、担保机构出具的保函等非现金形式提交（包括网银转账，电汇等方式）。</w:t>
            </w:r>
          </w:p>
          <w:p w14:paraId="03711349">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收款单位：XXX。（履约保证金由采购人收取，采购代理机构不得代收）</w:t>
            </w:r>
          </w:p>
          <w:p w14:paraId="7FDCDE14">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开户行：XXX。</w:t>
            </w:r>
          </w:p>
          <w:p w14:paraId="2A00E61D">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银行账号：XXX。</w:t>
            </w:r>
          </w:p>
          <w:p w14:paraId="5B1DFE30">
            <w:pPr>
              <w:widowControl/>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注：出具保函的主体应当是金融机构、保险机构、担保机构等依法成立且具有相关资质和偿付能力的机构，否则将取消成交供应商的成交资格，采购人将重新确定成交供应商，并依法追究法律责任。</w:t>
            </w:r>
          </w:p>
          <w:p w14:paraId="7DE902A3">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履约保证金退还方式：非现金形式无息退还。</w:t>
            </w:r>
          </w:p>
          <w:p w14:paraId="562F049B">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履约保证金退还时间：合同约定的质保期满后7个工作日内。</w:t>
            </w:r>
          </w:p>
          <w:p w14:paraId="17C211B8">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履约保证金不予退还情形：</w:t>
            </w:r>
            <w:r>
              <w:rPr>
                <w:rFonts w:hint="eastAsia" w:ascii="仿宋" w:hAnsi="仿宋" w:eastAsia="仿宋" w:cs="仿宋"/>
                <w:color w:val="auto"/>
                <w:szCs w:val="21"/>
                <w:highlight w:val="none"/>
                <w:lang w:eastAsia="zh-CN"/>
              </w:rPr>
              <w:t>成交供应商</w:t>
            </w:r>
            <w:r>
              <w:rPr>
                <w:rFonts w:hint="eastAsia" w:ascii="仿宋" w:hAnsi="仿宋" w:eastAsia="仿宋" w:cs="仿宋"/>
                <w:color w:val="auto"/>
                <w:szCs w:val="21"/>
                <w:highlight w:val="none"/>
              </w:rPr>
              <w:t>出现合同约定的违约情形。</w:t>
            </w:r>
          </w:p>
          <w:p w14:paraId="3471429C">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履约保证金不予退还的，将按照有关规定上缴国库。逾期退还履约保证金的，将依法承担法律责任，并赔偿供应商损失。</w:t>
            </w:r>
          </w:p>
        </w:tc>
      </w:tr>
      <w:tr w14:paraId="5F3B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0EBA6AE5">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7.</w:t>
            </w:r>
          </w:p>
        </w:tc>
        <w:tc>
          <w:tcPr>
            <w:tcW w:w="1757" w:type="dxa"/>
            <w:vAlign w:val="center"/>
          </w:tcPr>
          <w:p w14:paraId="109A660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响应文件份数</w:t>
            </w:r>
          </w:p>
        </w:tc>
        <w:tc>
          <w:tcPr>
            <w:tcW w:w="7275" w:type="dxa"/>
            <w:vAlign w:val="center"/>
          </w:tcPr>
          <w:p w14:paraId="33832039">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资格性响应文件1式3份（其中正本1份、副本2份）；</w:t>
            </w:r>
          </w:p>
          <w:p w14:paraId="37CCD74C">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其他响应文件1式3份（其中正本1份、副本2份）；</w:t>
            </w:r>
          </w:p>
          <w:p w14:paraId="78542B39">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最后报价响应文件1份；</w:t>
            </w:r>
          </w:p>
          <w:p w14:paraId="65F0B822">
            <w:pPr>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响应文件电子文档（U盘）1份。</w:t>
            </w:r>
          </w:p>
        </w:tc>
      </w:tr>
      <w:tr w14:paraId="2A5E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53886A3">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w:t>
            </w:r>
          </w:p>
        </w:tc>
        <w:tc>
          <w:tcPr>
            <w:tcW w:w="1757" w:type="dxa"/>
            <w:vAlign w:val="center"/>
          </w:tcPr>
          <w:p w14:paraId="76309A6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咨询</w:t>
            </w:r>
          </w:p>
        </w:tc>
        <w:tc>
          <w:tcPr>
            <w:tcW w:w="7275" w:type="dxa"/>
            <w:vAlign w:val="center"/>
          </w:tcPr>
          <w:p w14:paraId="6808D6F6">
            <w:pPr>
              <w:spacing w:line="400" w:lineRule="exact"/>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联 系 人：邱先生</w:t>
            </w:r>
            <w:r>
              <w:rPr>
                <w:rFonts w:hint="eastAsia" w:ascii="仿宋" w:hAnsi="仿宋" w:eastAsia="仿宋" w:cs="仿宋"/>
                <w:color w:val="auto"/>
                <w:highlight w:val="none"/>
                <w:lang w:val="zh-CN" w:eastAsia="zh-CN"/>
              </w:rPr>
              <w:t>；</w:t>
            </w:r>
          </w:p>
          <w:p w14:paraId="632A23F2">
            <w:pPr>
              <w:spacing w:line="400" w:lineRule="exact"/>
              <w:ind w:left="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联系电话：18180926606。</w:t>
            </w:r>
          </w:p>
        </w:tc>
      </w:tr>
      <w:tr w14:paraId="6653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16DE6152">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w:t>
            </w:r>
          </w:p>
        </w:tc>
        <w:tc>
          <w:tcPr>
            <w:tcW w:w="902" w:type="pct"/>
            <w:vAlign w:val="center"/>
          </w:tcPr>
          <w:p w14:paraId="6698EDC6">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代理服务费</w:t>
            </w:r>
          </w:p>
        </w:tc>
        <w:tc>
          <w:tcPr>
            <w:tcW w:w="3736" w:type="pct"/>
            <w:vAlign w:val="center"/>
          </w:tcPr>
          <w:p w14:paraId="44018827">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本项目预算已包含采购代理服务费,根据委托代理协议约定，本项目采购代理服务费按照</w:t>
            </w:r>
            <w:r>
              <w:rPr>
                <w:rFonts w:hint="eastAsia" w:ascii="仿宋" w:hAnsi="仿宋" w:eastAsia="仿宋" w:cs="仿宋"/>
                <w:color w:val="auto"/>
                <w:highlight w:val="none"/>
                <w:lang w:val="en-US" w:eastAsia="zh-CN"/>
              </w:rPr>
              <w:t>3000.00元（大写：叁仟元整）</w:t>
            </w:r>
            <w:r>
              <w:rPr>
                <w:rFonts w:hint="eastAsia" w:ascii="仿宋" w:hAnsi="仿宋" w:eastAsia="仿宋" w:cs="仿宋"/>
                <w:color w:val="auto"/>
                <w:highlight w:val="none"/>
                <w:lang w:val="zh-CN"/>
              </w:rPr>
              <w:t>收取，由成交供应商</w:t>
            </w:r>
            <w:r>
              <w:rPr>
                <w:rFonts w:hint="eastAsia" w:ascii="仿宋" w:hAnsi="仿宋" w:eastAsia="仿宋" w:cs="仿宋"/>
                <w:color w:val="auto"/>
                <w:highlight w:val="none"/>
                <w:lang w:val="en-US" w:eastAsia="zh-CN"/>
              </w:rPr>
              <w:t>一次性</w:t>
            </w:r>
            <w:r>
              <w:rPr>
                <w:rFonts w:hint="eastAsia" w:ascii="仿宋" w:hAnsi="仿宋" w:eastAsia="仿宋" w:cs="仿宋"/>
                <w:color w:val="auto"/>
                <w:highlight w:val="none"/>
                <w:lang w:val="zh-CN"/>
              </w:rPr>
              <w:t>支付。</w:t>
            </w:r>
          </w:p>
          <w:p w14:paraId="1A7EC5BF">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代理服务费收款账户：</w:t>
            </w:r>
          </w:p>
          <w:p w14:paraId="50D06916">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收款单位：四川鑫益工程项目管理有限公司；</w:t>
            </w:r>
          </w:p>
          <w:p w14:paraId="2CABA3B6">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账    号：2000167882000014；</w:t>
            </w:r>
          </w:p>
          <w:p w14:paraId="5B363AE8">
            <w:pPr>
              <w:spacing w:line="400" w:lineRule="exact"/>
              <w:ind w:left="0" w:leftChars="0" w:firstLine="0" w:firstLineChars="0"/>
              <w:rPr>
                <w:rFonts w:hint="eastAsia"/>
                <w:color w:val="auto"/>
                <w:highlight w:val="none"/>
              </w:rPr>
            </w:pPr>
            <w:r>
              <w:rPr>
                <w:rFonts w:hint="eastAsia" w:ascii="仿宋" w:hAnsi="仿宋" w:eastAsia="仿宋" w:cs="仿宋"/>
                <w:color w:val="auto"/>
                <w:highlight w:val="none"/>
                <w:lang w:val="en-US" w:eastAsia="zh-CN"/>
              </w:rPr>
              <w:t>开 户 行：四川天府银行股份有限公司自贡分行。</w:t>
            </w:r>
          </w:p>
        </w:tc>
      </w:tr>
      <w:tr w14:paraId="6FDB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1797199">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10.</w:t>
            </w:r>
          </w:p>
        </w:tc>
        <w:tc>
          <w:tcPr>
            <w:tcW w:w="1757" w:type="dxa"/>
            <w:vAlign w:val="center"/>
          </w:tcPr>
          <w:p w14:paraId="7510623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成交通知书领取</w:t>
            </w:r>
          </w:p>
        </w:tc>
        <w:tc>
          <w:tcPr>
            <w:tcW w:w="7275" w:type="dxa"/>
            <w:vAlign w:val="center"/>
          </w:tcPr>
          <w:p w14:paraId="11CF93BF">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请成交供应商凭有效身份证明证件到采购代理机构办理完代理服务费交费手续后领取成交通知书。</w:t>
            </w:r>
          </w:p>
          <w:p w14:paraId="3AD658B2">
            <w:pPr>
              <w:spacing w:line="400" w:lineRule="exact"/>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rPr>
              <w:t>联 系 人：</w:t>
            </w:r>
            <w:r>
              <w:rPr>
                <w:rFonts w:hint="eastAsia" w:ascii="仿宋" w:hAnsi="仿宋" w:eastAsia="仿宋" w:cs="仿宋"/>
                <w:color w:val="auto"/>
                <w:highlight w:val="none"/>
                <w:lang w:val="zh-CN" w:eastAsia="zh-CN"/>
              </w:rPr>
              <w:t>邱先生</w:t>
            </w:r>
          </w:p>
          <w:p w14:paraId="4FB6B63D">
            <w:pPr>
              <w:spacing w:line="400" w:lineRule="exact"/>
              <w:ind w:left="0" w:leftChars="0"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联系电话：18180926606</w:t>
            </w:r>
          </w:p>
          <w:p w14:paraId="726D7D0C">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地址：</w:t>
            </w:r>
            <w:r>
              <w:rPr>
                <w:rFonts w:hint="eastAsia" w:ascii="仿宋" w:hAnsi="仿宋" w:eastAsia="仿宋" w:cs="仿宋"/>
                <w:color w:val="auto"/>
                <w:highlight w:val="none"/>
                <w:lang w:val="zh-CN" w:eastAsia="zh-CN"/>
              </w:rPr>
              <w:t>四川省自贡市自流井区华园街春华38栋201号（梨园市场二楼）</w:t>
            </w:r>
            <w:r>
              <w:rPr>
                <w:rFonts w:hint="eastAsia" w:ascii="仿宋" w:hAnsi="仿宋" w:eastAsia="仿宋" w:cs="仿宋"/>
                <w:color w:val="auto"/>
                <w:highlight w:val="none"/>
                <w:lang w:val="zh-CN"/>
              </w:rPr>
              <w:t>。</w:t>
            </w:r>
          </w:p>
        </w:tc>
      </w:tr>
      <w:tr w14:paraId="5930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156EF401">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p>
        </w:tc>
        <w:tc>
          <w:tcPr>
            <w:tcW w:w="902" w:type="pct"/>
            <w:vAlign w:val="center"/>
          </w:tcPr>
          <w:p w14:paraId="4292D4A8">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费用承担</w:t>
            </w:r>
          </w:p>
          <w:p w14:paraId="09DAA152">
            <w:pPr>
              <w:widowControl/>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43D7A377">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供应商自行承担其准备和参加本次采购活动所发生的全部费用。</w:t>
            </w:r>
          </w:p>
        </w:tc>
      </w:tr>
      <w:tr w14:paraId="0585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1ED32A7">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12.</w:t>
            </w:r>
          </w:p>
        </w:tc>
        <w:tc>
          <w:tcPr>
            <w:tcW w:w="902" w:type="pct"/>
            <w:vAlign w:val="center"/>
          </w:tcPr>
          <w:p w14:paraId="1BD141A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确定成交供应商的方式</w:t>
            </w:r>
          </w:p>
        </w:tc>
        <w:tc>
          <w:tcPr>
            <w:tcW w:w="3736" w:type="pct"/>
            <w:vAlign w:val="center"/>
          </w:tcPr>
          <w:p w14:paraId="643CB584">
            <w:pPr>
              <w:spacing w:line="40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采购人收到谈判报告及有关资料后，将在5个工作日内按照谈判报告中推荐的成交候选供应商顺序确定成交供应商。成交候选供应商并列的，采购人将采取随机抽取的方式确定成交供应商。采购人逾期未确定成交供应商且不提出异议的，视为确定谈判报告提出的排序第一的供应商为成交供应商。</w:t>
            </w:r>
          </w:p>
        </w:tc>
      </w:tr>
      <w:tr w14:paraId="6C6B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448D420B">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13.</w:t>
            </w:r>
          </w:p>
        </w:tc>
        <w:tc>
          <w:tcPr>
            <w:tcW w:w="902" w:type="pct"/>
            <w:vAlign w:val="center"/>
          </w:tcPr>
          <w:p w14:paraId="3AC7A0E0">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合同分包</w:t>
            </w:r>
          </w:p>
          <w:p w14:paraId="22F9A87F">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0898C6C0">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除落实采购政策外，本项目：</w:t>
            </w:r>
          </w:p>
          <w:p w14:paraId="6D385349">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sym w:font="Wingdings" w:char="F0FE"/>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不接受合同分包。</w:t>
            </w:r>
          </w:p>
          <w:p w14:paraId="660CD139">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highlight w:val="none"/>
              </w:rPr>
              <w:t>接受合同分包。合同分包具体要求如下：</w:t>
            </w:r>
          </w:p>
          <w:p w14:paraId="737629C7">
            <w:pPr>
              <w:pStyle w:val="58"/>
              <w:numPr>
                <w:ilvl w:val="0"/>
                <w:numId w:val="8"/>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14:paraId="5CA32508">
            <w:pPr>
              <w:pStyle w:val="58"/>
              <w:numPr>
                <w:ilvl w:val="0"/>
                <w:numId w:val="8"/>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分包履行合同的部分应当为采购项目的非主体、非关键性工作，不属于成交供应商的主要合同义务。</w:t>
            </w:r>
          </w:p>
        </w:tc>
      </w:tr>
      <w:tr w14:paraId="67DB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18B8D4D5">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14.</w:t>
            </w:r>
          </w:p>
        </w:tc>
        <w:tc>
          <w:tcPr>
            <w:tcW w:w="902" w:type="pct"/>
            <w:vAlign w:val="center"/>
          </w:tcPr>
          <w:p w14:paraId="3D7D31D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w:t>
            </w:r>
          </w:p>
          <w:p w14:paraId="53C75084">
            <w:pPr>
              <w:widowControl/>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64F80B68">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响应有效期：从首次提交响应文件截止之日起，不得少于90天。在响应文件有效期内，供应商不得撤销响应文件，坚持撤销的，撤销无效。供应商响应文件中必须载明响应文件有效期，响应文件中载明的响应文件有效期可以长于谈判文件规定的期限，但不得短于谈判文件规定的期限。否则，其响应文件将作为无效处理。</w:t>
            </w:r>
          </w:p>
        </w:tc>
      </w:tr>
      <w:tr w14:paraId="1ECF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46CACFDF">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w:t>
            </w:r>
          </w:p>
        </w:tc>
        <w:tc>
          <w:tcPr>
            <w:tcW w:w="902" w:type="pct"/>
            <w:vAlign w:val="center"/>
          </w:tcPr>
          <w:p w14:paraId="0075D7C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知识产权</w:t>
            </w:r>
          </w:p>
          <w:p w14:paraId="7E1452ED">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12CD9FE6">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0785BEAE">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604D705">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如采用供应商所不拥有的知识产权，则在报价中必须包括合法获取使用该知识产权的相关费用。</w:t>
            </w:r>
          </w:p>
          <w:p w14:paraId="2D665B32">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构成本谈判文件的各组成部分，未经采购人书面同意，供应商不得擅自复印或用于非本谈判项目所需的其他目的。</w:t>
            </w:r>
          </w:p>
        </w:tc>
      </w:tr>
      <w:tr w14:paraId="7BE1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316F8265">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16.</w:t>
            </w:r>
          </w:p>
        </w:tc>
        <w:tc>
          <w:tcPr>
            <w:tcW w:w="902" w:type="pct"/>
            <w:vAlign w:val="center"/>
          </w:tcPr>
          <w:p w14:paraId="7908097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充分、公平竞争保障措施</w:t>
            </w:r>
          </w:p>
        </w:tc>
        <w:tc>
          <w:tcPr>
            <w:tcW w:w="3736" w:type="pct"/>
            <w:vAlign w:val="center"/>
          </w:tcPr>
          <w:p w14:paraId="06294FBE">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单位负责人为同一人或者存在直接控股、管理关系的不同供应商不得参加同一合同项下的采购活动。</w:t>
            </w:r>
          </w:p>
          <w:p w14:paraId="4F70A18E">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不同供应商不得在同一合同项下的采购项目中，委托同一个自然人、同一单位的人员编制资格预审申请文件。</w:t>
            </w:r>
          </w:p>
          <w:p w14:paraId="2781EA7A">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不同供应商不得在同一合同项下的采购项目中，委托同一个自然人、同一单位的人员办理资格预审申请文件响应事宜。</w:t>
            </w:r>
          </w:p>
          <w:p w14:paraId="63F32DB6">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不同供应商的资格预审申请文件载明的项目管理成员或者联系人员不得为同一人。</w:t>
            </w:r>
          </w:p>
          <w:p w14:paraId="1E92B57A">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文件不得相互混装。</w:t>
            </w:r>
          </w:p>
          <w:p w14:paraId="359D5EF3">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为采购项目提供整体设计、规范编制或者项目管理、监理、检测等服务的供应商，不得再参加本项目的采购活动。</w:t>
            </w:r>
          </w:p>
          <w:p w14:paraId="4861FD15">
            <w:pPr>
              <w:pStyle w:val="58"/>
              <w:spacing w:line="400" w:lineRule="exact"/>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本项目符合本条规定的供应商是：无。</w:t>
            </w:r>
          </w:p>
          <w:p w14:paraId="6FFE66A6">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本项目采购代理及其分支机构不得作为供应商参加本项目采购活动。</w:t>
            </w:r>
          </w:p>
        </w:tc>
      </w:tr>
      <w:tr w14:paraId="6100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44EF1957">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17.</w:t>
            </w:r>
          </w:p>
        </w:tc>
        <w:tc>
          <w:tcPr>
            <w:tcW w:w="902" w:type="pct"/>
            <w:vAlign w:val="center"/>
          </w:tcPr>
          <w:p w14:paraId="57CD38D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信用记录查询及使用</w:t>
            </w:r>
          </w:p>
        </w:tc>
        <w:tc>
          <w:tcPr>
            <w:tcW w:w="3736" w:type="pct"/>
            <w:vAlign w:val="center"/>
          </w:tcPr>
          <w:p w14:paraId="014A3B6F">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人、采购代理机构在供应商提交响应文件时间截止后，通过“信用中国”网站（www.creditchina.gov.cn）等渠道查询提交了响应文件的供应商的信用记录。经查询，截至响应文件提交截止日，列入失信被执行人、重大税收违法案件当事人名单、政府采购严重违法失信行为记录名单的供应商，不得参与本项目采购活动。以联合体形式参加本项目采购活动，联合体成员存在前述不良信用记录的，视同联合体存在前述不良信用记录，不得参与本项目采购活动。前述无效响应人的信用记录查询结果网页截图将予以保存。</w:t>
            </w:r>
          </w:p>
        </w:tc>
      </w:tr>
      <w:tr w14:paraId="2D4C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0E09FA30">
            <w:pPr>
              <w:pStyle w:val="54"/>
              <w:widowControl/>
              <w:numPr>
                <w:ilvl w:val="0"/>
                <w:numId w:val="0"/>
              </w:numPr>
              <w:spacing w:line="400" w:lineRule="exact"/>
              <w:ind w:leftChars="0"/>
              <w:jc w:val="center"/>
              <w:rPr>
                <w:rFonts w:hint="default" w:ascii="仿宋" w:hAnsi="仿宋" w:eastAsia="仿宋" w:cs="仿宋"/>
                <w:color w:val="auto"/>
                <w:szCs w:val="21"/>
                <w:highlight w:val="none"/>
                <w:lang w:val="en-US" w:eastAsia="zh-CN"/>
              </w:rPr>
            </w:pPr>
            <w:bookmarkStart w:id="8" w:name="_Toc498593026"/>
            <w:bookmarkStart w:id="9" w:name="_Toc498593001"/>
            <w:r>
              <w:rPr>
                <w:rFonts w:hint="eastAsia" w:ascii="仿宋" w:hAnsi="仿宋" w:eastAsia="仿宋" w:cs="仿宋"/>
                <w:color w:val="auto"/>
                <w:szCs w:val="21"/>
                <w:highlight w:val="none"/>
                <w:lang w:val="en-US" w:eastAsia="zh-CN"/>
              </w:rPr>
              <w:t>18.</w:t>
            </w:r>
          </w:p>
        </w:tc>
        <w:tc>
          <w:tcPr>
            <w:tcW w:w="902" w:type="pct"/>
            <w:vAlign w:val="center"/>
          </w:tcPr>
          <w:p w14:paraId="358CC7B2">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本次采购活动适用法律、法规的特别约定和说明</w:t>
            </w:r>
          </w:p>
          <w:p w14:paraId="7E189228">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color w:val="auto"/>
                <w:highlight w:val="none"/>
                <w:lang w:eastAsia="zh-CN"/>
              </w:rPr>
            </w:pPr>
            <w:r>
              <w:rPr>
                <w:rFonts w:hint="eastAsia" w:ascii="仿宋" w:hAnsi="仿宋" w:eastAsia="仿宋" w:cs="仿宋"/>
                <w:b/>
                <w:bCs w:val="0"/>
                <w:color w:val="auto"/>
                <w:kern w:val="2"/>
                <w:sz w:val="21"/>
                <w:szCs w:val="21"/>
                <w:highlight w:val="none"/>
                <w:lang w:val="en-US" w:eastAsia="zh-CN" w:bidi="ar-SA"/>
              </w:rPr>
              <w:t>（实质性要求）</w:t>
            </w:r>
          </w:p>
        </w:tc>
        <w:tc>
          <w:tcPr>
            <w:tcW w:w="3736" w:type="pct"/>
            <w:vAlign w:val="center"/>
          </w:tcPr>
          <w:p w14:paraId="2E6CF3BD">
            <w:pPr>
              <w:pStyle w:val="58"/>
              <w:numPr>
                <w:ilvl w:val="0"/>
                <w:numId w:val="11"/>
              </w:numPr>
              <w:spacing w:line="400" w:lineRule="exact"/>
              <w:ind w:left="425" w:leftChars="0" w:hanging="425"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采购活动是按《中华人民共和国民法典》之相关规定，以网络公告方式发起要约、受要约人(竞标人)对要约事项进行竞标承诺响应等一次普通民事采购经济活动，受《中华人民共和国民法典》的调整、保护。本项目采购活动中的所有参与者只要遵守了《中华人民共和国民法典》规定的“平等自愿”、“诚实信用”和“意思自治”原则即可，只要参加采购活动，即为自觉接受采购文件的相关要约事项。</w:t>
            </w:r>
          </w:p>
          <w:p w14:paraId="79C93C3B">
            <w:pPr>
              <w:pStyle w:val="58"/>
              <w:numPr>
                <w:ilvl w:val="0"/>
                <w:numId w:val="11"/>
              </w:numPr>
              <w:spacing w:line="400" w:lineRule="exact"/>
              <w:ind w:left="425" w:leftChars="0" w:hanging="425" w:firstLineChars="0"/>
              <w:rPr>
                <w:rFonts w:hint="eastAsia" w:ascii="仿宋" w:hAnsi="仿宋" w:eastAsia="仿宋" w:cs="仿宋"/>
                <w:color w:val="auto"/>
                <w:highlight w:val="none"/>
              </w:rPr>
            </w:pPr>
            <w:r>
              <w:rPr>
                <w:rFonts w:hint="eastAsia" w:ascii="仿宋" w:hAnsi="仿宋" w:eastAsia="仿宋" w:cs="仿宋"/>
                <w:color w:val="auto"/>
                <w:highlight w:val="none"/>
                <w:lang w:val="zh-CN"/>
              </w:rPr>
              <w:t>本次采购活动不受《中华人民共和国政府采购法》、《中华人民共和国政府采购法实施条例》及其相关政府采购法律、法规制度的调整约束。供应商愿意接受本采购文件要约内容和做法，就报名参加采购活动；如果不接受本采购文件的要约内容和做法，则不参与；也不存在质疑、投诉之规定。</w:t>
            </w:r>
          </w:p>
        </w:tc>
      </w:tr>
    </w:tbl>
    <w:p w14:paraId="4FC64015">
      <w:pPr>
        <w:outlineLvl w:val="9"/>
        <w:rPr>
          <w:rFonts w:hint="eastAsia" w:ascii="仿宋" w:hAnsi="仿宋" w:eastAsia="仿宋" w:cs="仿宋"/>
          <w:b w:val="0"/>
          <w:bCs/>
          <w:color w:val="auto"/>
          <w:kern w:val="2"/>
          <w:sz w:val="28"/>
          <w:szCs w:val="28"/>
          <w:highlight w:val="none"/>
          <w:lang w:val="en-US" w:eastAsia="zh-CN" w:bidi="ar-SA"/>
        </w:rPr>
      </w:pPr>
    </w:p>
    <w:p w14:paraId="191A48DF">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（二）</w:t>
      </w:r>
      <w:r>
        <w:rPr>
          <w:rFonts w:hint="eastAsia" w:ascii="仿宋" w:hAnsi="仿宋" w:eastAsia="仿宋" w:cs="仿宋"/>
          <w:b w:val="0"/>
          <w:color w:val="auto"/>
          <w:sz w:val="28"/>
          <w:szCs w:val="28"/>
          <w:highlight w:val="none"/>
        </w:rPr>
        <w:t>总则</w:t>
      </w:r>
      <w:bookmarkEnd w:id="8"/>
      <w:bookmarkEnd w:id="9"/>
    </w:p>
    <w:p w14:paraId="051DFDC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w:t>
      </w:r>
      <w:r>
        <w:rPr>
          <w:rFonts w:hint="eastAsia" w:ascii="仿宋" w:hAnsi="仿宋" w:eastAsia="仿宋" w:cs="仿宋"/>
          <w:b/>
          <w:color w:val="auto"/>
          <w:szCs w:val="21"/>
          <w:highlight w:val="none"/>
        </w:rPr>
        <w:t>适用范围</w:t>
      </w:r>
    </w:p>
    <w:p w14:paraId="1255BFD7">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r>
        <w:rPr>
          <w:rFonts w:hint="eastAsia" w:ascii="仿宋" w:hAnsi="仿宋" w:eastAsia="仿宋" w:cs="仿宋"/>
          <w:color w:val="auto"/>
          <w:szCs w:val="21"/>
          <w:highlight w:val="none"/>
        </w:rPr>
        <w:t>本谈判文件仅适用于本次采购活动。</w:t>
      </w:r>
    </w:p>
    <w:p w14:paraId="2F6A783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1.2.</w:t>
      </w:r>
      <w:r>
        <w:rPr>
          <w:rFonts w:hint="eastAsia" w:ascii="仿宋" w:hAnsi="仿宋" w:eastAsia="仿宋" w:cs="仿宋"/>
          <w:color w:val="auto"/>
          <w:szCs w:val="21"/>
          <w:highlight w:val="none"/>
        </w:rPr>
        <w:t>本谈判文件的最终解释权归采购人和采购代理机构所有。</w:t>
      </w:r>
    </w:p>
    <w:p w14:paraId="4BCE49C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1.3.</w:t>
      </w:r>
      <w:r>
        <w:rPr>
          <w:rFonts w:hint="eastAsia" w:ascii="仿宋" w:hAnsi="仿宋" w:eastAsia="仿宋" w:cs="仿宋"/>
          <w:color w:val="auto"/>
          <w:szCs w:val="21"/>
          <w:highlight w:val="none"/>
        </w:rPr>
        <w:t>本谈判文件中所引相关法律制度规定，在采购中有变化的，按照变化后的相关法律制度规定执行。本章规定的内容条款，在本项目提交响应文件截止时间届满后，因相关法律制度规定的变化导致不符合相关法律制度规定的，直接按照变化后的相关法律制度规定执行，本谈判文件不再做调整。</w:t>
      </w:r>
    </w:p>
    <w:p w14:paraId="4C18ACB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1.4.</w:t>
      </w:r>
      <w:r>
        <w:rPr>
          <w:rFonts w:hint="eastAsia" w:ascii="仿宋" w:hAnsi="仿宋" w:eastAsia="仿宋" w:cs="仿宋"/>
          <w:color w:val="auto"/>
          <w:szCs w:val="21"/>
          <w:highlight w:val="none"/>
        </w:rPr>
        <w:t>国家或行业主管部门对供应商和采购产品的技术标准、质量标准和资格资质条件等有强制性规定的，必须符合其要求。</w:t>
      </w:r>
      <w:r>
        <w:rPr>
          <w:rFonts w:hint="eastAsia" w:ascii="仿宋" w:hAnsi="仿宋" w:eastAsia="仿宋" w:cs="仿宋"/>
          <w:b/>
          <w:color w:val="auto"/>
          <w:szCs w:val="21"/>
          <w:highlight w:val="none"/>
        </w:rPr>
        <w:t>（实质性要求）</w:t>
      </w:r>
    </w:p>
    <w:p w14:paraId="1165BC8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w:t>
      </w:r>
      <w:r>
        <w:rPr>
          <w:rFonts w:hint="eastAsia" w:ascii="仿宋" w:hAnsi="仿宋" w:eastAsia="仿宋" w:cs="仿宋"/>
          <w:b/>
          <w:color w:val="auto"/>
          <w:szCs w:val="21"/>
          <w:highlight w:val="none"/>
        </w:rPr>
        <w:t>联合体参加采购活动（允许或要求联合体参加的项目适用）</w:t>
      </w:r>
    </w:p>
    <w:p w14:paraId="2511801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2.1.</w:t>
      </w:r>
      <w:r>
        <w:rPr>
          <w:rFonts w:hint="eastAsia" w:ascii="仿宋" w:hAnsi="仿宋" w:eastAsia="仿宋" w:cs="仿宋"/>
          <w:color w:val="auto"/>
          <w:szCs w:val="21"/>
          <w:highlight w:val="none"/>
        </w:rPr>
        <w:t>两个以上供应商可以组成一个联合体，以一个供应商的身份参加资格预审。联合体应当确定其中一方为本次采购活动的全权代表，代表联合体处理参加采购活动的一切事务。</w:t>
      </w:r>
    </w:p>
    <w:p w14:paraId="634C020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2.2.</w:t>
      </w:r>
      <w:r>
        <w:rPr>
          <w:rFonts w:hint="eastAsia" w:ascii="仿宋" w:hAnsi="仿宋" w:eastAsia="仿宋" w:cs="仿宋"/>
          <w:color w:val="auto"/>
          <w:szCs w:val="21"/>
          <w:highlight w:val="none"/>
        </w:rPr>
        <w:t>供应商以联合体形式参加采购活动的，联合体各方均应具备</w:t>
      </w:r>
      <w:r>
        <w:rPr>
          <w:rFonts w:hint="eastAsia" w:ascii="仿宋" w:hAnsi="仿宋" w:eastAsia="仿宋" w:cs="仿宋"/>
          <w:color w:val="auto"/>
          <w:szCs w:val="21"/>
          <w:highlight w:val="none"/>
          <w:lang w:eastAsia="zh-CN"/>
        </w:rPr>
        <w:t>相关法律法规</w:t>
      </w:r>
      <w:r>
        <w:rPr>
          <w:rFonts w:hint="eastAsia" w:ascii="仿宋" w:hAnsi="仿宋" w:eastAsia="仿宋" w:cs="仿宋"/>
          <w:color w:val="auto"/>
          <w:szCs w:val="21"/>
          <w:highlight w:val="none"/>
        </w:rPr>
        <w:t>中规定的供应商资格条件；按照联合体分工承担相同工作的，还应同时满足</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规定的特定资格条件；按照联合体分工承担不同工作的，联合体各方不需同时具备</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文件规定的特定资格条件，但应当具备承担对应工作内容的特定资格条件。</w:t>
      </w:r>
    </w:p>
    <w:p w14:paraId="4F9B15A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w:t>
      </w:r>
      <w:r>
        <w:rPr>
          <w:rFonts w:hint="eastAsia" w:ascii="仿宋" w:hAnsi="仿宋" w:eastAsia="仿宋" w:cs="仿宋"/>
          <w:color w:val="auto"/>
          <w:szCs w:val="21"/>
          <w:highlight w:val="none"/>
        </w:rPr>
        <w:t>联合体各方之间应当签订联合协议，载明联合体各方承担的工作和义务，并将联合协议连同资格预审申请文件一并提交采购人、采购代理机构。联合体各方签订联合协议后，不得再单独参加或者与其他供应商另外组成联合体参加同一合同项下的采购活动。</w:t>
      </w:r>
    </w:p>
    <w:p w14:paraId="4C2925A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2.4.</w:t>
      </w:r>
      <w:r>
        <w:rPr>
          <w:rFonts w:hint="eastAsia" w:ascii="仿宋" w:hAnsi="仿宋" w:eastAsia="仿宋" w:cs="仿宋"/>
          <w:color w:val="auto"/>
          <w:szCs w:val="21"/>
          <w:highlight w:val="none"/>
        </w:rPr>
        <w:t>联合体中有同类资质的供应商按照联合体分工承担相同工作的，应当按照资质等级较低的供应商确定资质等级。</w:t>
      </w:r>
    </w:p>
    <w:p w14:paraId="1379D87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2.5.</w:t>
      </w:r>
      <w:r>
        <w:rPr>
          <w:rFonts w:hint="eastAsia" w:ascii="仿宋" w:hAnsi="仿宋" w:eastAsia="仿宋" w:cs="仿宋"/>
          <w:color w:val="auto"/>
          <w:szCs w:val="21"/>
          <w:highlight w:val="none"/>
        </w:rPr>
        <w:t>联合体各方应当共同与采购人签订采购合同，就采购合同约定的事项对采购人承担连带责任。</w:t>
      </w:r>
    </w:p>
    <w:p w14:paraId="5461B9A1">
      <w:pPr>
        <w:outlineLvl w:val="9"/>
        <w:rPr>
          <w:rFonts w:hint="eastAsia" w:ascii="仿宋" w:hAnsi="仿宋" w:eastAsia="仿宋" w:cs="仿宋"/>
          <w:b w:val="0"/>
          <w:bCs/>
          <w:color w:val="auto"/>
          <w:kern w:val="2"/>
          <w:sz w:val="28"/>
          <w:szCs w:val="28"/>
          <w:highlight w:val="none"/>
          <w:lang w:val="en-US" w:eastAsia="zh-CN" w:bidi="ar-SA"/>
        </w:rPr>
      </w:pPr>
      <w:bookmarkStart w:id="10" w:name="_Toc38440025"/>
    </w:p>
    <w:p w14:paraId="3B6C134C">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（三）</w:t>
      </w:r>
      <w:r>
        <w:rPr>
          <w:rFonts w:hint="eastAsia" w:ascii="仿宋" w:hAnsi="仿宋" w:eastAsia="仿宋" w:cs="仿宋"/>
          <w:b w:val="0"/>
          <w:color w:val="auto"/>
          <w:sz w:val="28"/>
          <w:szCs w:val="28"/>
          <w:highlight w:val="none"/>
        </w:rPr>
        <w:t>采购文件</w:t>
      </w:r>
      <w:bookmarkEnd w:id="10"/>
    </w:p>
    <w:p w14:paraId="3A3B68A7">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3.</w:t>
      </w:r>
      <w:r>
        <w:rPr>
          <w:rFonts w:hint="eastAsia" w:ascii="仿宋" w:hAnsi="仿宋" w:eastAsia="仿宋" w:cs="仿宋"/>
          <w:b/>
          <w:color w:val="auto"/>
          <w:szCs w:val="21"/>
          <w:highlight w:val="none"/>
        </w:rPr>
        <w:t>谈判文件的构成</w:t>
      </w:r>
    </w:p>
    <w:p w14:paraId="2B28382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3.1.</w:t>
      </w:r>
      <w:r>
        <w:rPr>
          <w:rFonts w:hint="eastAsia" w:ascii="仿宋" w:hAnsi="仿宋" w:eastAsia="仿宋" w:cs="仿宋"/>
          <w:color w:val="auto"/>
          <w:szCs w:val="21"/>
          <w:highlight w:val="none"/>
        </w:rPr>
        <w:t>谈判文件是本次采购活动的基本依据，也是供应商准备响应文件、参加采购活动的依据。</w:t>
      </w:r>
    </w:p>
    <w:p w14:paraId="5AB6CBB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3.2.</w:t>
      </w:r>
      <w:r>
        <w:rPr>
          <w:rFonts w:hint="eastAsia" w:ascii="仿宋" w:hAnsi="仿宋" w:eastAsia="仿宋" w:cs="仿宋"/>
          <w:color w:val="auto"/>
          <w:szCs w:val="21"/>
          <w:highlight w:val="none"/>
        </w:rPr>
        <w:t>谈判文件包括谈判邀请、采购方式、采购预算、采购需求、评审程序、评审方法、评审标准、价格构成或者报价要求、响应文件编制要求、谈判过程中可能实质性变动内容、响应文件提交的截止时间、开启时间及地点以及合同草案条款等。</w:t>
      </w:r>
    </w:p>
    <w:p w14:paraId="49619952">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4.</w:t>
      </w:r>
      <w:r>
        <w:rPr>
          <w:rFonts w:hint="eastAsia" w:ascii="仿宋" w:hAnsi="仿宋" w:eastAsia="仿宋" w:cs="仿宋"/>
          <w:b/>
          <w:color w:val="auto"/>
          <w:szCs w:val="21"/>
          <w:highlight w:val="none"/>
        </w:rPr>
        <w:t>谈判文件的澄清和修改</w:t>
      </w:r>
    </w:p>
    <w:p w14:paraId="609908C7">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4.1.</w:t>
      </w:r>
      <w:r>
        <w:rPr>
          <w:rFonts w:hint="eastAsia" w:ascii="仿宋" w:hAnsi="仿宋" w:eastAsia="仿宋" w:cs="仿宋"/>
          <w:color w:val="auto"/>
          <w:szCs w:val="21"/>
          <w:highlight w:val="none"/>
        </w:rPr>
        <w:t>在提交响应文件截止时间前，采购人、采购代理机构可以对谈判文件进行澄清或者修改。</w:t>
      </w:r>
    </w:p>
    <w:p w14:paraId="550BF94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4.2.</w:t>
      </w:r>
      <w:r>
        <w:rPr>
          <w:rFonts w:hint="eastAsia" w:ascii="仿宋" w:hAnsi="仿宋" w:eastAsia="仿宋" w:cs="仿宋"/>
          <w:color w:val="auto"/>
          <w:szCs w:val="21"/>
          <w:highlight w:val="none"/>
        </w:rPr>
        <w:t>采购代理机构对已发出的谈判文件进行澄清或者修改，应当通过以书面形式将澄清或者修改的内容通知所有成功获取谈判文件的供应商，同时在</w:t>
      </w:r>
      <w:r>
        <w:rPr>
          <w:rFonts w:hint="eastAsia" w:ascii="仿宋" w:hAnsi="仿宋" w:eastAsia="仿宋" w:cs="仿宋"/>
          <w:color w:val="auto"/>
          <w:szCs w:val="21"/>
          <w:highlight w:val="none"/>
          <w:lang w:eastAsia="zh-CN"/>
        </w:rPr>
        <w:t>四川招投标网</w:t>
      </w:r>
      <w:r>
        <w:rPr>
          <w:rFonts w:hint="eastAsia" w:ascii="仿宋" w:hAnsi="仿宋" w:eastAsia="仿宋" w:cs="仿宋"/>
          <w:color w:val="auto"/>
          <w:szCs w:val="21"/>
          <w:highlight w:val="none"/>
        </w:rPr>
        <w:t>上发布更正公告。该澄清或者修改的内容为谈判文件的组成部分，澄清或者修改的内容可能影响响应文件编制的，采购人或者采购代理机构发布澄清公告并以书面形式通知成功获取谈判文件的供应商的时间，应当在提交首次响应文件截止</w:t>
      </w:r>
      <w:r>
        <w:rPr>
          <w:rFonts w:hint="eastAsia" w:ascii="仿宋" w:hAnsi="仿宋" w:eastAsia="仿宋" w:cs="仿宋"/>
          <w:color w:val="auto"/>
          <w:szCs w:val="21"/>
          <w:highlight w:val="none"/>
          <w:lang w:eastAsia="zh-CN"/>
        </w:rPr>
        <w:t>时间</w:t>
      </w:r>
      <w:r>
        <w:rPr>
          <w:rFonts w:hint="eastAsia" w:ascii="仿宋" w:hAnsi="仿宋" w:eastAsia="仿宋" w:cs="仿宋"/>
          <w:color w:val="auto"/>
          <w:szCs w:val="21"/>
          <w:highlight w:val="none"/>
          <w:lang w:val="en-US" w:eastAsia="zh-CN"/>
        </w:rPr>
        <w:t>3个工作日之</w:t>
      </w:r>
      <w:r>
        <w:rPr>
          <w:rFonts w:hint="eastAsia" w:ascii="仿宋" w:hAnsi="仿宋" w:eastAsia="仿宋" w:cs="仿宋"/>
          <w:color w:val="auto"/>
          <w:szCs w:val="21"/>
          <w:highlight w:val="none"/>
        </w:rPr>
        <w:t>前；不足上述时间的，应当顺延提交响应文件的截止时间。</w:t>
      </w:r>
    </w:p>
    <w:p w14:paraId="1FD8D3D9">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4.3.</w:t>
      </w:r>
      <w:r>
        <w:rPr>
          <w:rFonts w:hint="eastAsia" w:ascii="仿宋" w:hAnsi="仿宋" w:eastAsia="仿宋" w:cs="仿宋"/>
          <w:color w:val="auto"/>
          <w:szCs w:val="21"/>
          <w:highlight w:val="none"/>
        </w:rPr>
        <w:t>供应商应于提交响应文件截止时间前，及时关注</w:t>
      </w:r>
      <w:r>
        <w:rPr>
          <w:rFonts w:hint="eastAsia" w:ascii="仿宋" w:hAnsi="仿宋" w:eastAsia="仿宋" w:cs="仿宋"/>
          <w:color w:val="auto"/>
          <w:szCs w:val="21"/>
          <w:highlight w:val="none"/>
          <w:lang w:eastAsia="zh-CN"/>
        </w:rPr>
        <w:t>四川招投标网</w:t>
      </w:r>
      <w:r>
        <w:rPr>
          <w:rFonts w:hint="eastAsia" w:ascii="仿宋" w:hAnsi="仿宋" w:eastAsia="仿宋" w:cs="仿宋"/>
          <w:color w:val="auto"/>
          <w:szCs w:val="21"/>
          <w:highlight w:val="none"/>
        </w:rPr>
        <w:t>发布的本项目更正公告，以保证对谈判文件做出正确的响应。供应商未及时关注相关信息或者更正公告所造成的不利后果，由供应商自行承担。</w:t>
      </w:r>
    </w:p>
    <w:p w14:paraId="44010AE4">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5.</w:t>
      </w:r>
      <w:r>
        <w:rPr>
          <w:rFonts w:hint="eastAsia" w:ascii="仿宋" w:hAnsi="仿宋" w:eastAsia="仿宋" w:cs="仿宋"/>
          <w:b/>
          <w:color w:val="auto"/>
          <w:szCs w:val="21"/>
          <w:highlight w:val="none"/>
        </w:rPr>
        <w:t>答疑会和现场考察</w:t>
      </w:r>
    </w:p>
    <w:p w14:paraId="555C52C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5.1.</w:t>
      </w:r>
      <w:r>
        <w:rPr>
          <w:rFonts w:hint="eastAsia" w:ascii="仿宋" w:hAnsi="仿宋" w:eastAsia="仿宋" w:cs="仿宋"/>
          <w:color w:val="auto"/>
          <w:szCs w:val="21"/>
          <w:highlight w:val="none"/>
        </w:rPr>
        <w:t>采购人、采购代理机构认为有必要，将在谈判文件提供期限截止时间后至响应文件提交截止时间前，组织已获取谈判文件的潜在供应商现场考察或者召开答疑会。</w:t>
      </w:r>
    </w:p>
    <w:p w14:paraId="21BC81B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5.2.</w:t>
      </w:r>
      <w:r>
        <w:rPr>
          <w:rFonts w:hint="eastAsia" w:ascii="仿宋" w:hAnsi="仿宋" w:eastAsia="仿宋" w:cs="仿宋"/>
          <w:color w:val="auto"/>
          <w:szCs w:val="21"/>
          <w:highlight w:val="none"/>
        </w:rPr>
        <w:t>采购人、采购代理机构组织现场考察或者召开答疑会的，将通过交易系统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6079EBB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5.3.</w:t>
      </w:r>
      <w:r>
        <w:rPr>
          <w:rFonts w:hint="eastAsia" w:ascii="仿宋" w:hAnsi="仿宋" w:eastAsia="仿宋" w:cs="仿宋"/>
          <w:color w:val="auto"/>
          <w:szCs w:val="21"/>
          <w:highlight w:val="none"/>
        </w:rPr>
        <w:t>供应商考察现场或者参加答疑会所发生的一切费用由供应商自己承担。</w:t>
      </w:r>
    </w:p>
    <w:p w14:paraId="5E76BF2E">
      <w:pPr>
        <w:outlineLvl w:val="9"/>
        <w:rPr>
          <w:rFonts w:hint="eastAsia" w:ascii="仿宋" w:hAnsi="仿宋" w:eastAsia="仿宋" w:cs="仿宋"/>
          <w:b w:val="0"/>
          <w:bCs/>
          <w:color w:val="auto"/>
          <w:kern w:val="2"/>
          <w:sz w:val="28"/>
          <w:szCs w:val="28"/>
          <w:highlight w:val="none"/>
          <w:lang w:val="en-US" w:eastAsia="zh-CN" w:bidi="ar-SA"/>
        </w:rPr>
      </w:pPr>
      <w:bookmarkStart w:id="11" w:name="_Toc498593003"/>
      <w:bookmarkStart w:id="12" w:name="_Toc498593028"/>
    </w:p>
    <w:p w14:paraId="0D725AF3">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（四）</w:t>
      </w:r>
      <w:r>
        <w:rPr>
          <w:rFonts w:hint="eastAsia" w:ascii="仿宋" w:hAnsi="仿宋" w:eastAsia="仿宋" w:cs="仿宋"/>
          <w:b w:val="0"/>
          <w:color w:val="auto"/>
          <w:sz w:val="28"/>
          <w:szCs w:val="28"/>
          <w:highlight w:val="none"/>
        </w:rPr>
        <w:t>响应</w:t>
      </w:r>
      <w:bookmarkEnd w:id="11"/>
      <w:bookmarkEnd w:id="12"/>
      <w:r>
        <w:rPr>
          <w:rFonts w:hint="eastAsia" w:ascii="仿宋" w:hAnsi="仿宋" w:eastAsia="仿宋" w:cs="仿宋"/>
          <w:b w:val="0"/>
          <w:color w:val="auto"/>
          <w:sz w:val="28"/>
          <w:szCs w:val="28"/>
          <w:highlight w:val="none"/>
        </w:rPr>
        <w:t>文件</w:t>
      </w:r>
    </w:p>
    <w:p w14:paraId="51259CF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6.</w:t>
      </w:r>
      <w:r>
        <w:rPr>
          <w:rFonts w:hint="eastAsia" w:ascii="仿宋" w:hAnsi="仿宋" w:eastAsia="仿宋" w:cs="仿宋"/>
          <w:b/>
          <w:color w:val="auto"/>
          <w:szCs w:val="21"/>
          <w:highlight w:val="none"/>
        </w:rPr>
        <w:t>响应文件的语言（实质性要求）</w:t>
      </w:r>
    </w:p>
    <w:p w14:paraId="5A33C791">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6.1.</w:t>
      </w:r>
      <w:r>
        <w:rPr>
          <w:rFonts w:hint="eastAsia" w:ascii="仿宋" w:hAnsi="仿宋" w:eastAsia="仿宋" w:cs="仿宋"/>
          <w:color w:val="auto"/>
          <w:szCs w:val="21"/>
          <w:highlight w:val="none"/>
        </w:rPr>
        <w:t>供应商提交的响应文件以及供应商与谈判小组在评审过程中的所有来往书面文件均须使用中文。响应文件中如附有外文资料，主要部分要对应翻译成中文并附在相关外文资料后面。</w:t>
      </w:r>
    </w:p>
    <w:p w14:paraId="301521B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6.2.</w:t>
      </w:r>
      <w:r>
        <w:rPr>
          <w:rFonts w:hint="eastAsia" w:ascii="仿宋" w:hAnsi="仿宋" w:eastAsia="仿宋" w:cs="仿宋"/>
          <w:color w:val="auto"/>
          <w:szCs w:val="21"/>
          <w:highlight w:val="none"/>
        </w:rPr>
        <w:t>翻译的中文资料与外文资料如果出现差异和矛盾时，以中文为准。涉嫌提供虚假材料的按照相关法律法规处理。</w:t>
      </w:r>
    </w:p>
    <w:p w14:paraId="43A6DA67">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6.3.</w:t>
      </w:r>
      <w:r>
        <w:rPr>
          <w:rFonts w:hint="eastAsia" w:ascii="仿宋" w:hAnsi="仿宋" w:eastAsia="仿宋" w:cs="仿宋"/>
          <w:color w:val="auto"/>
          <w:szCs w:val="21"/>
          <w:highlight w:val="none"/>
        </w:rPr>
        <w:t>如因未翻译而造成对供应商的不利后果，由供应商承担。</w:t>
      </w:r>
    </w:p>
    <w:p w14:paraId="6D815DD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7.</w:t>
      </w:r>
      <w:r>
        <w:rPr>
          <w:rFonts w:hint="eastAsia" w:ascii="仿宋" w:hAnsi="仿宋" w:eastAsia="仿宋" w:cs="仿宋"/>
          <w:b/>
          <w:color w:val="auto"/>
          <w:szCs w:val="21"/>
          <w:highlight w:val="none"/>
        </w:rPr>
        <w:t>计量单位（实质性要求）</w:t>
      </w:r>
    </w:p>
    <w:p w14:paraId="6416AC2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7.1.</w:t>
      </w:r>
      <w:r>
        <w:rPr>
          <w:rFonts w:hint="eastAsia" w:ascii="仿宋" w:hAnsi="仿宋" w:eastAsia="仿宋" w:cs="仿宋"/>
          <w:color w:val="auto"/>
          <w:szCs w:val="21"/>
          <w:highlight w:val="none"/>
        </w:rPr>
        <w:t>除谈判文件中另有规定外，本次采购项目所有合同项下的报价均采用国家法定的计量单位。</w:t>
      </w:r>
    </w:p>
    <w:p w14:paraId="2D78B1E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8.</w:t>
      </w:r>
      <w:r>
        <w:rPr>
          <w:rFonts w:hint="eastAsia" w:ascii="仿宋" w:hAnsi="仿宋" w:eastAsia="仿宋" w:cs="仿宋"/>
          <w:b/>
          <w:color w:val="auto"/>
          <w:szCs w:val="21"/>
          <w:highlight w:val="none"/>
        </w:rPr>
        <w:t>报价（实质性要求）</w:t>
      </w:r>
    </w:p>
    <w:p w14:paraId="4383E8B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8.1.</w:t>
      </w:r>
      <w:r>
        <w:rPr>
          <w:rFonts w:hint="eastAsia" w:ascii="仿宋" w:hAnsi="仿宋" w:eastAsia="仿宋" w:cs="仿宋"/>
          <w:color w:val="auto"/>
          <w:szCs w:val="21"/>
          <w:highlight w:val="none"/>
        </w:rPr>
        <w:t>所有报价一律以人民币报价。</w:t>
      </w:r>
    </w:p>
    <w:p w14:paraId="2B91EF9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8.2.</w:t>
      </w:r>
      <w:r>
        <w:rPr>
          <w:rFonts w:hint="eastAsia" w:ascii="仿宋" w:hAnsi="仿宋" w:eastAsia="仿宋" w:cs="仿宋"/>
          <w:color w:val="auto"/>
          <w:szCs w:val="21"/>
          <w:highlight w:val="none"/>
        </w:rPr>
        <w:t>报价是其响应本项目要求的全部工作内容的价格体现，包括供应商完成本项目所需的一切费用。</w:t>
      </w:r>
    </w:p>
    <w:p w14:paraId="19923CD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9.</w:t>
      </w:r>
      <w:r>
        <w:rPr>
          <w:rFonts w:hint="eastAsia" w:ascii="仿宋" w:hAnsi="仿宋" w:eastAsia="仿宋" w:cs="仿宋"/>
          <w:b/>
          <w:color w:val="auto"/>
          <w:szCs w:val="21"/>
          <w:highlight w:val="none"/>
        </w:rPr>
        <w:t>响应文件格式</w:t>
      </w:r>
    </w:p>
    <w:p w14:paraId="1FD586C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9.1.</w:t>
      </w:r>
      <w:r>
        <w:rPr>
          <w:rFonts w:hint="eastAsia" w:ascii="仿宋" w:hAnsi="仿宋" w:eastAsia="仿宋" w:cs="仿宋"/>
          <w:color w:val="auto"/>
          <w:szCs w:val="21"/>
          <w:highlight w:val="none"/>
        </w:rPr>
        <w:t>供应商应执行采购文件</w:t>
      </w:r>
      <w:r>
        <w:rPr>
          <w:rFonts w:hint="eastAsia" w:ascii="仿宋" w:hAnsi="仿宋" w:eastAsia="仿宋" w:cs="仿宋"/>
          <w:color w:val="auto"/>
          <w:szCs w:val="21"/>
          <w:highlight w:val="none"/>
          <w:lang w:eastAsia="zh-CN"/>
        </w:rPr>
        <w:t>第七章</w:t>
      </w:r>
      <w:r>
        <w:rPr>
          <w:rFonts w:hint="eastAsia" w:ascii="仿宋" w:hAnsi="仿宋" w:eastAsia="仿宋" w:cs="仿宋"/>
          <w:color w:val="auto"/>
          <w:szCs w:val="21"/>
          <w:highlight w:val="none"/>
        </w:rPr>
        <w:t>的规定要求。</w:t>
      </w:r>
    </w:p>
    <w:p w14:paraId="36316681">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9.2.</w:t>
      </w:r>
      <w:r>
        <w:rPr>
          <w:rFonts w:hint="eastAsia" w:ascii="仿宋" w:hAnsi="仿宋" w:eastAsia="仿宋" w:cs="仿宋"/>
          <w:color w:val="auto"/>
          <w:szCs w:val="21"/>
          <w:highlight w:val="none"/>
        </w:rPr>
        <w:t>对于采购文件没有格式要求的由供应商自行编写。</w:t>
      </w:r>
    </w:p>
    <w:p w14:paraId="7716E907">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10.</w:t>
      </w:r>
      <w:r>
        <w:rPr>
          <w:rFonts w:hint="eastAsia" w:ascii="仿宋" w:hAnsi="仿宋" w:eastAsia="仿宋" w:cs="仿宋"/>
          <w:b/>
          <w:color w:val="auto"/>
          <w:szCs w:val="21"/>
          <w:highlight w:val="none"/>
        </w:rPr>
        <w:t>响应文件的组成</w:t>
      </w:r>
    </w:p>
    <w:p w14:paraId="53E625A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参加谈判的供应商按照竞争性谈判文件的要求准备响应文件，响应文件分为资格性响应文件、其他响应文件、最后报价响应文件和响应文件电子文档共4部分。供应商拟在成交后将成交项目的非主体、非关键性工作交由他人完成的，应当在响应文件中载明或谈判过程中澄清。</w:t>
      </w:r>
    </w:p>
    <w:p w14:paraId="2B072EF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 w:val="24"/>
          <w:highlight w:val="none"/>
          <w:lang w:val="en-US" w:eastAsia="zh-CN"/>
        </w:rPr>
      </w:pPr>
      <w:r>
        <w:rPr>
          <w:rFonts w:hint="eastAsia" w:ascii="仿宋" w:hAnsi="仿宋" w:eastAsia="仿宋" w:cs="仿宋"/>
          <w:color w:val="auto"/>
          <w:szCs w:val="21"/>
          <w:highlight w:val="none"/>
          <w:lang w:val="en-US" w:eastAsia="zh-CN"/>
        </w:rPr>
        <w:t>注：以下有格式表的按格式表要求提供，无格式表的格式自拟。</w:t>
      </w:r>
    </w:p>
    <w:p w14:paraId="1B55DB9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kern w:val="2"/>
          <w:sz w:val="21"/>
          <w:szCs w:val="21"/>
          <w:highlight w:val="none"/>
          <w:lang w:val="en-US" w:eastAsia="zh-CN" w:bidi="ar-SA"/>
        </w:rPr>
        <w:t>10.1.</w:t>
      </w:r>
      <w:r>
        <w:rPr>
          <w:rFonts w:hint="eastAsia" w:ascii="仿宋" w:hAnsi="仿宋" w:eastAsia="仿宋" w:cs="仿宋"/>
          <w:color w:val="auto"/>
          <w:szCs w:val="21"/>
          <w:highlight w:val="none"/>
        </w:rPr>
        <w:t>资格性响应文件部分</w:t>
      </w:r>
      <w:r>
        <w:rPr>
          <w:rFonts w:hint="eastAsia" w:ascii="仿宋" w:hAnsi="仿宋" w:eastAsia="仿宋" w:cs="仿宋"/>
          <w:b/>
          <w:bCs/>
          <w:color w:val="auto"/>
          <w:szCs w:val="21"/>
          <w:highlight w:val="none"/>
          <w:lang w:eastAsia="zh-CN"/>
        </w:rPr>
        <w:t>（实质性要求）</w:t>
      </w:r>
    </w:p>
    <w:p w14:paraId="22887E3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严格按照第四章要求提供相关资格、资质性及其他类似效力要求的相关证明材料。</w:t>
      </w:r>
    </w:p>
    <w:p w14:paraId="2AE0E7D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w:t>
      </w:r>
      <w:r>
        <w:rPr>
          <w:rFonts w:hint="eastAsia" w:ascii="仿宋" w:hAnsi="仿宋" w:eastAsia="仿宋" w:cs="仿宋"/>
          <w:color w:val="auto"/>
          <w:szCs w:val="21"/>
          <w:highlight w:val="none"/>
          <w:lang w:val="en-US" w:eastAsia="zh-CN"/>
        </w:rPr>
        <w:t>其他响应文件</w:t>
      </w:r>
    </w:p>
    <w:p w14:paraId="37BC7C0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供应商按照采购文件要求做出技术应答，供应商的技术服务响应包括但不限于以下内容：</w:t>
      </w:r>
    </w:p>
    <w:p w14:paraId="497FB838">
      <w:pPr>
        <w:pStyle w:val="54"/>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10.2.1.</w:t>
      </w:r>
      <w:r>
        <w:rPr>
          <w:rFonts w:hint="eastAsia" w:ascii="仿宋" w:hAnsi="仿宋" w:eastAsia="仿宋" w:cs="仿宋"/>
          <w:color w:val="auto"/>
          <w:szCs w:val="21"/>
          <w:highlight w:val="none"/>
          <w:lang w:val="en-US" w:eastAsia="zh-CN"/>
        </w:rPr>
        <w:t>商务部分</w:t>
      </w:r>
    </w:p>
    <w:p w14:paraId="6A0B6310">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承诺函</w:t>
      </w:r>
      <w:r>
        <w:rPr>
          <w:rFonts w:hint="eastAsia" w:ascii="仿宋" w:hAnsi="仿宋" w:eastAsia="仿宋" w:cs="仿宋"/>
          <w:b/>
          <w:bCs/>
          <w:color w:val="auto"/>
          <w:szCs w:val="21"/>
          <w:highlight w:val="none"/>
          <w:lang w:eastAsia="zh-CN"/>
        </w:rPr>
        <w:t>（实质性要求）；</w:t>
      </w:r>
    </w:p>
    <w:p w14:paraId="03F02011">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供应商简介；</w:t>
      </w:r>
    </w:p>
    <w:p w14:paraId="0F776E7A">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lang w:val="en-US" w:eastAsia="zh-CN"/>
        </w:rPr>
        <w:t>供应商基本情况表；</w:t>
      </w:r>
    </w:p>
    <w:p w14:paraId="261B63D7">
      <w:pPr>
        <w:pStyle w:val="54"/>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10.2.2.</w:t>
      </w:r>
      <w:r>
        <w:rPr>
          <w:rFonts w:hint="eastAsia" w:ascii="仿宋" w:hAnsi="仿宋" w:eastAsia="仿宋" w:cs="仿宋"/>
          <w:color w:val="auto"/>
          <w:szCs w:val="21"/>
          <w:highlight w:val="none"/>
          <w:lang w:val="en-US" w:eastAsia="zh-CN"/>
        </w:rPr>
        <w:t>服务性响应部分</w:t>
      </w:r>
    </w:p>
    <w:p w14:paraId="3BDF3CC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供应商按照采购文件要求做出的服务应答，主要是针对采购项目的服务要求、商务要求、质量保证等做出的实质性响应和满足。供应商的服务响应包括但不限于下列内容：</w:t>
      </w:r>
    </w:p>
    <w:p w14:paraId="6B5FA21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服务应答表</w:t>
      </w:r>
      <w:r>
        <w:rPr>
          <w:rFonts w:hint="eastAsia" w:ascii="仿宋" w:hAnsi="仿宋" w:eastAsia="仿宋" w:cs="仿宋"/>
          <w:b/>
          <w:bCs/>
          <w:color w:val="auto"/>
          <w:szCs w:val="21"/>
          <w:highlight w:val="none"/>
          <w:lang w:eastAsia="zh-CN"/>
        </w:rPr>
        <w:t>（实质性要求）</w:t>
      </w:r>
      <w:r>
        <w:rPr>
          <w:rFonts w:hint="eastAsia" w:ascii="仿宋" w:hAnsi="仿宋" w:eastAsia="仿宋" w:cs="仿宋"/>
          <w:color w:val="auto"/>
          <w:szCs w:val="21"/>
          <w:highlight w:val="none"/>
          <w:lang w:val="en-US" w:eastAsia="zh-CN"/>
        </w:rPr>
        <w:t>；</w:t>
      </w:r>
    </w:p>
    <w:p w14:paraId="6EE70237">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商务应答表</w:t>
      </w:r>
      <w:r>
        <w:rPr>
          <w:rFonts w:hint="eastAsia" w:ascii="仿宋" w:hAnsi="仿宋" w:eastAsia="仿宋" w:cs="仿宋"/>
          <w:b/>
          <w:bCs/>
          <w:color w:val="auto"/>
          <w:szCs w:val="21"/>
          <w:highlight w:val="none"/>
          <w:lang w:eastAsia="zh-CN"/>
        </w:rPr>
        <w:t>（实质性要求）</w:t>
      </w:r>
      <w:r>
        <w:rPr>
          <w:rFonts w:hint="eastAsia" w:ascii="仿宋" w:hAnsi="仿宋" w:eastAsia="仿宋" w:cs="仿宋"/>
          <w:color w:val="auto"/>
          <w:szCs w:val="21"/>
          <w:highlight w:val="none"/>
          <w:lang w:val="en-US" w:eastAsia="zh-CN"/>
        </w:rPr>
        <w:t>；</w:t>
      </w:r>
    </w:p>
    <w:p w14:paraId="13E348A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lang w:val="en-US" w:eastAsia="zh-CN"/>
        </w:rPr>
        <w:t>拟派入本项目的主要实施人员情况表；</w:t>
      </w:r>
    </w:p>
    <w:p w14:paraId="094231B7">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(4)</w:t>
      </w:r>
      <w:r>
        <w:rPr>
          <w:rFonts w:hint="eastAsia" w:ascii="仿宋" w:hAnsi="仿宋" w:eastAsia="仿宋" w:cs="仿宋"/>
          <w:color w:val="auto"/>
          <w:szCs w:val="21"/>
          <w:highlight w:val="none"/>
          <w:lang w:val="en-US" w:eastAsia="zh-CN"/>
        </w:rPr>
        <w:t>项目服务方案；</w:t>
      </w:r>
    </w:p>
    <w:p w14:paraId="096156F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(5)</w:t>
      </w:r>
      <w:r>
        <w:rPr>
          <w:rFonts w:hint="eastAsia" w:ascii="仿宋" w:hAnsi="仿宋" w:eastAsia="仿宋" w:cs="仿宋"/>
          <w:color w:val="auto"/>
          <w:szCs w:val="21"/>
          <w:highlight w:val="none"/>
          <w:lang w:val="en-US" w:eastAsia="zh-CN"/>
        </w:rPr>
        <w:t>其他有利于采购人或者供应商认为需要提供的文件和资料。</w:t>
      </w:r>
    </w:p>
    <w:p w14:paraId="742C3F82">
      <w:pPr>
        <w:pStyle w:val="54"/>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10.2.3.</w:t>
      </w:r>
      <w:r>
        <w:rPr>
          <w:rFonts w:hint="eastAsia" w:ascii="仿宋" w:hAnsi="仿宋" w:eastAsia="仿宋" w:cs="仿宋"/>
          <w:color w:val="auto"/>
          <w:szCs w:val="21"/>
          <w:highlight w:val="none"/>
          <w:lang w:val="en-US" w:eastAsia="zh-CN"/>
        </w:rPr>
        <w:t>报价部分，包括以下内容：</w:t>
      </w:r>
    </w:p>
    <w:p w14:paraId="0E20F5D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按照竞争性谈判文件要求填写“报价一览表”第一轮报价，第一轮（首轮）报价需装订入其他响应文件中，另请供应商自备2份空白的签字盖章的“报价一览表”表格，以备谈判现场需两轮及以上报价时提交给谈判小组。</w:t>
      </w:r>
    </w:p>
    <w:p w14:paraId="4763D43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10.3.</w:t>
      </w:r>
      <w:r>
        <w:rPr>
          <w:rFonts w:hint="eastAsia" w:ascii="仿宋" w:hAnsi="仿宋" w:eastAsia="仿宋" w:cs="仿宋"/>
          <w:color w:val="auto"/>
          <w:szCs w:val="21"/>
          <w:highlight w:val="none"/>
          <w:lang w:val="en-US" w:eastAsia="zh-CN"/>
        </w:rPr>
        <w:t>最后报价响应文件</w:t>
      </w:r>
    </w:p>
    <w:p w14:paraId="0A44B6D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留空白的“最后报价表”，以供为现场最后报价使用。</w:t>
      </w:r>
    </w:p>
    <w:p w14:paraId="6947F11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最后报价为谈判结束后，由供应商填写“最后报价表”，并自行准备密封袋，以备评审现场根据要求填写后密封提交。经供应商法定代表人或代理人签字后密封递交给代理机构工作人员。由其收集齐后集中递交谈判小组。</w:t>
      </w:r>
    </w:p>
    <w:p w14:paraId="6BB69839">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本项目报价要求</w:t>
      </w:r>
      <w:r>
        <w:rPr>
          <w:rFonts w:hint="eastAsia" w:ascii="仿宋" w:hAnsi="仿宋" w:eastAsia="仿宋" w:cs="仿宋"/>
          <w:b/>
          <w:bCs/>
          <w:color w:val="auto"/>
          <w:szCs w:val="21"/>
          <w:highlight w:val="none"/>
          <w:lang w:val="en-US" w:eastAsia="zh-CN"/>
        </w:rPr>
        <w:t>（实质性要求）</w:t>
      </w:r>
      <w:r>
        <w:rPr>
          <w:rFonts w:hint="eastAsia" w:ascii="仿宋" w:hAnsi="仿宋" w:eastAsia="仿宋" w:cs="仿宋"/>
          <w:color w:val="auto"/>
          <w:szCs w:val="21"/>
          <w:highlight w:val="none"/>
          <w:lang w:val="en-US" w:eastAsia="zh-CN"/>
        </w:rPr>
        <w:t>：</w:t>
      </w:r>
    </w:p>
    <w:p w14:paraId="7AD38693">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供应商的报价是供应商响应本项目要求的全部工作内容的价格体现，包括供应商完成本项目所需的一切费用。</w:t>
      </w:r>
    </w:p>
    <w:p w14:paraId="694DDC6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供应商每种响应货物的最后报价只允许有一个报价，并且在合同履行过程中是固定不变的（但是，按采购文件有关规定，属于评审委允许澄清、修正的情形除外），任何有选择或可调整的报价将不予接受，并按无效响应处理。</w:t>
      </w:r>
    </w:p>
    <w:p w14:paraId="229C4F9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lang w:val="en-US" w:eastAsia="zh-CN"/>
        </w:rPr>
        <w:t>供应商不得以“赠予”或“0报价”方式进行谈判报价（包括项明细清单中子项目也不得以“赠予”或“0报价”方式报价），否则其报价文件（经济标）将被视为无效响应。</w:t>
      </w:r>
    </w:p>
    <w:p w14:paraId="35CCA69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(4)</w:t>
      </w:r>
      <w:r>
        <w:rPr>
          <w:rFonts w:hint="eastAsia" w:ascii="仿宋" w:hAnsi="仿宋" w:eastAsia="仿宋" w:cs="仿宋"/>
          <w:color w:val="auto"/>
          <w:szCs w:val="21"/>
          <w:highlight w:val="none"/>
          <w:lang w:val="en-US" w:eastAsia="zh-CN"/>
        </w:rPr>
        <w:t>“最后报价表”填写的报价将作为本次采购唯一的最后报价依据。</w:t>
      </w:r>
    </w:p>
    <w:p w14:paraId="75452FC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10.4.</w:t>
      </w:r>
      <w:r>
        <w:rPr>
          <w:rFonts w:hint="eastAsia" w:ascii="仿宋" w:hAnsi="仿宋" w:eastAsia="仿宋" w:cs="仿宋"/>
          <w:color w:val="auto"/>
          <w:szCs w:val="21"/>
          <w:highlight w:val="none"/>
          <w:lang w:val="en-US" w:eastAsia="zh-CN"/>
        </w:rPr>
        <w:t>电子文档</w:t>
      </w:r>
    </w:p>
    <w:p w14:paraId="682F574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响应文件电子文档应当包含资格性响应文件和其他响应文件两部分。</w:t>
      </w:r>
    </w:p>
    <w:p w14:paraId="06A6D819">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11.</w:t>
      </w:r>
      <w:r>
        <w:rPr>
          <w:rFonts w:hint="eastAsia" w:ascii="仿宋" w:hAnsi="仿宋" w:eastAsia="仿宋" w:cs="仿宋"/>
          <w:b/>
          <w:color w:val="auto"/>
          <w:szCs w:val="21"/>
          <w:highlight w:val="none"/>
          <w:lang w:val="en-US" w:eastAsia="zh-CN"/>
        </w:rPr>
        <w:t>响应文件的印制及签署</w:t>
      </w:r>
    </w:p>
    <w:p w14:paraId="3C36EE9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11.1.</w:t>
      </w:r>
      <w:r>
        <w:rPr>
          <w:rFonts w:hint="eastAsia" w:ascii="仿宋" w:hAnsi="仿宋" w:eastAsia="仿宋" w:cs="仿宋"/>
          <w:color w:val="auto"/>
          <w:szCs w:val="21"/>
          <w:highlight w:val="none"/>
          <w:lang w:val="en-US" w:eastAsia="zh-CN"/>
        </w:rPr>
        <w:t>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5219578E">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11.2.</w:t>
      </w:r>
      <w:r>
        <w:rPr>
          <w:rFonts w:hint="eastAsia" w:ascii="仿宋" w:hAnsi="仿宋" w:eastAsia="仿宋" w:cs="仿宋"/>
          <w:color w:val="auto"/>
          <w:szCs w:val="21"/>
          <w:highlight w:val="none"/>
          <w:lang w:val="en-US" w:eastAsia="zh-CN"/>
        </w:rPr>
        <w:t>其他响应文件正本1份、副本2份，并在其封面上清楚地标明其他响应文件、采购项目名称、采购项目编号、包件号及名称（若有）、供应商名称以及“正本”或“副本”字样。若正本和副本有不一致的内容，以正本书面响应文件为准。</w:t>
      </w:r>
    </w:p>
    <w:p w14:paraId="7049EC3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11.3.</w:t>
      </w:r>
      <w:r>
        <w:rPr>
          <w:rFonts w:hint="eastAsia" w:ascii="仿宋" w:hAnsi="仿宋" w:eastAsia="仿宋" w:cs="仿宋"/>
          <w:color w:val="auto"/>
          <w:szCs w:val="21"/>
          <w:highlight w:val="none"/>
          <w:lang w:val="en-US" w:eastAsia="zh-CN"/>
        </w:rPr>
        <w:t>响应文件电子文档在其封面上清楚地标明采购项目名称、采购项目编号、包件号及名称（若有）、供应商名称。</w:t>
      </w:r>
    </w:p>
    <w:p w14:paraId="2D922731">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11.4.</w:t>
      </w:r>
      <w:r>
        <w:rPr>
          <w:rFonts w:hint="eastAsia" w:ascii="仿宋" w:hAnsi="仿宋" w:eastAsia="仿宋" w:cs="仿宋"/>
          <w:color w:val="auto"/>
          <w:szCs w:val="21"/>
          <w:highlight w:val="none"/>
          <w:lang w:val="en-US" w:eastAsia="zh-CN"/>
        </w:rPr>
        <w:t>若正本与副本内容出现差异时，则以正本为准；但是以下情形除外：</w:t>
      </w:r>
    </w:p>
    <w:p w14:paraId="0C9D4E79">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当副本中与正本不一致的资料签字盖章内容完善完整，并以原件呈现，完全符合采购文件各项规定要求的；</w:t>
      </w:r>
    </w:p>
    <w:p w14:paraId="658EEB49">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经澄清程序，供应商现场确认的。副本可用正本的影印件。用于谈判单独提交的“报价一览表”应为原件。</w:t>
      </w:r>
    </w:p>
    <w:p w14:paraId="68FE1D8E">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11.5.</w:t>
      </w:r>
      <w:r>
        <w:rPr>
          <w:rFonts w:hint="eastAsia" w:ascii="仿宋" w:hAnsi="仿宋" w:eastAsia="仿宋" w:cs="仿宋"/>
          <w:color w:val="auto"/>
          <w:szCs w:val="21"/>
          <w:highlight w:val="none"/>
          <w:lang w:val="en-US" w:eastAsia="zh-CN"/>
        </w:rPr>
        <w:t>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w:t>
      </w:r>
    </w:p>
    <w:p w14:paraId="0B9AB6C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11.6.</w:t>
      </w:r>
      <w:r>
        <w:rPr>
          <w:rFonts w:hint="eastAsia" w:ascii="仿宋" w:hAnsi="仿宋" w:eastAsia="仿宋" w:cs="仿宋"/>
          <w:color w:val="auto"/>
          <w:szCs w:val="21"/>
          <w:highlight w:val="none"/>
          <w:lang w:val="en-US" w:eastAsia="zh-CN"/>
        </w:rPr>
        <w:t>响应文件正本必须使用不褪色、不变质的墨水书写或打印，并逐页加盖供应商单位鲜章（在规定签章处逐一签字和盖章，其投标单位盖章应为鲜章），签署、盖章和内容应完整、有效。</w:t>
      </w:r>
    </w:p>
    <w:p w14:paraId="5ABE121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11.7.</w:t>
      </w:r>
      <w:r>
        <w:rPr>
          <w:rFonts w:hint="eastAsia" w:ascii="仿宋" w:hAnsi="仿宋" w:eastAsia="仿宋" w:cs="仿宋"/>
          <w:color w:val="auto"/>
          <w:szCs w:val="21"/>
          <w:highlight w:val="none"/>
          <w:lang w:val="en-US" w:eastAsia="zh-CN"/>
        </w:rPr>
        <w:t>响应文件应统一使用A4幅面纸印制，逐页编目编码以方便评审专家查阅。</w:t>
      </w:r>
    </w:p>
    <w:p w14:paraId="6771C47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11.8.</w:t>
      </w:r>
      <w:r>
        <w:rPr>
          <w:rFonts w:hint="eastAsia" w:ascii="仿宋" w:hAnsi="仿宋" w:eastAsia="仿宋" w:cs="仿宋"/>
          <w:color w:val="auto"/>
          <w:szCs w:val="21"/>
          <w:highlight w:val="none"/>
          <w:lang w:val="en-US" w:eastAsia="zh-CN"/>
        </w:rPr>
        <w:t>响应文件电子文档须包含资格性响应文件和其他响应文件两部分，并制作为PDF格式文件，并拷贝到空白U盘中，U盘表面应标注供应商名称；供应商递交的电子文档与纸质版正本不得出现实质性不一致（如内容不齐全、模糊不清等）的任何情形。</w:t>
      </w:r>
    </w:p>
    <w:p w14:paraId="59DA707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b/>
          <w:color w:val="auto"/>
          <w:kern w:val="2"/>
          <w:sz w:val="21"/>
          <w:szCs w:val="21"/>
          <w:highlight w:val="none"/>
          <w:lang w:val="en-US" w:eastAsia="zh-CN" w:bidi="ar-SA"/>
        </w:rPr>
        <w:t>12.</w:t>
      </w:r>
      <w:r>
        <w:rPr>
          <w:rFonts w:hint="eastAsia" w:ascii="仿宋" w:hAnsi="仿宋" w:eastAsia="仿宋" w:cs="仿宋"/>
          <w:b/>
          <w:color w:val="auto"/>
          <w:szCs w:val="21"/>
          <w:highlight w:val="none"/>
          <w:lang w:val="en-US" w:eastAsia="zh-CN"/>
        </w:rPr>
        <w:t>响应文件的密封和标注</w:t>
      </w:r>
    </w:p>
    <w:p w14:paraId="36D51C0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12.1.</w:t>
      </w:r>
      <w:r>
        <w:rPr>
          <w:rFonts w:hint="eastAsia" w:ascii="仿宋" w:hAnsi="仿宋" w:eastAsia="仿宋" w:cs="仿宋"/>
          <w:color w:val="auto"/>
          <w:szCs w:val="21"/>
          <w:highlight w:val="none"/>
          <w:lang w:val="en-US" w:eastAsia="zh-CN"/>
        </w:rPr>
        <w:t>谈判供应商应将其资格性响应文件、其他响应文件、最后报价响应文件、响应文件电子文档分别用密封袋密封，并在封口处加盖单位公章；如有分包,各包响应文件应按前述要求分别单独封装，并注明分包号；若不满足以上要求，采购代理机构将有可能拒收其响应文件。</w:t>
      </w:r>
    </w:p>
    <w:p w14:paraId="619A542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12.2.</w:t>
      </w:r>
      <w:r>
        <w:rPr>
          <w:rFonts w:hint="eastAsia" w:ascii="仿宋" w:hAnsi="仿宋" w:eastAsia="仿宋" w:cs="仿宋"/>
          <w:color w:val="auto"/>
          <w:szCs w:val="21"/>
          <w:highlight w:val="none"/>
          <w:lang w:val="en-US" w:eastAsia="zh-CN"/>
        </w:rPr>
        <w:t>在密封袋封面上注明项目名称、编号、供应商名称、包件号（如有分包)及“资格性响应文件”“其他响应文件”“最后报价响应文件”“电子文档”字样。</w:t>
      </w:r>
    </w:p>
    <w:p w14:paraId="0F036F8E">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12.3.</w:t>
      </w:r>
      <w:r>
        <w:rPr>
          <w:rFonts w:hint="eastAsia" w:ascii="仿宋" w:hAnsi="仿宋" w:eastAsia="仿宋" w:cs="仿宋"/>
          <w:color w:val="auto"/>
          <w:szCs w:val="21"/>
          <w:highlight w:val="none"/>
          <w:lang w:val="en-US" w:eastAsia="zh-CN"/>
        </w:rPr>
        <w:t>每一密封件上应注明“于   年   月   日时分之前不准启封”字样（最后报价响应文件除外）；</w:t>
      </w:r>
    </w:p>
    <w:p w14:paraId="376EA09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12.4.</w:t>
      </w:r>
      <w:r>
        <w:rPr>
          <w:rFonts w:hint="eastAsia" w:ascii="仿宋" w:hAnsi="仿宋" w:eastAsia="仿宋" w:cs="仿宋"/>
          <w:color w:val="auto"/>
          <w:szCs w:val="21"/>
          <w:highlight w:val="none"/>
          <w:lang w:val="en-US" w:eastAsia="zh-CN"/>
        </w:rPr>
        <w:t>如果未按前款规定密封和标记，采购代理机构对响应文件的误投或提前拆封不负责任。对由此造成提前开封的响应文件，采购代理机构将予以拒绝，并退回供应商。</w:t>
      </w:r>
    </w:p>
    <w:p w14:paraId="406DE02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13.</w:t>
      </w:r>
      <w:r>
        <w:rPr>
          <w:rFonts w:hint="eastAsia" w:ascii="仿宋" w:hAnsi="仿宋" w:eastAsia="仿宋" w:cs="仿宋"/>
          <w:b/>
          <w:color w:val="auto"/>
          <w:szCs w:val="21"/>
          <w:highlight w:val="none"/>
          <w:lang w:val="en-US" w:eastAsia="zh-CN"/>
        </w:rPr>
        <w:t>响应文件的递交</w:t>
      </w:r>
    </w:p>
    <w:p w14:paraId="314FA9A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13.1.</w:t>
      </w:r>
      <w:r>
        <w:rPr>
          <w:rFonts w:hint="eastAsia" w:ascii="仿宋" w:hAnsi="仿宋" w:eastAsia="仿宋" w:cs="仿宋"/>
          <w:color w:val="auto"/>
          <w:szCs w:val="21"/>
          <w:highlight w:val="none"/>
          <w:lang w:val="en-US" w:eastAsia="zh-CN"/>
        </w:rPr>
        <w:t>供应商应在竞争性谈判文件规定的递交响应文件截止时间前，将响应文件按竞争性谈判文件的规定密封后送达递交响应文件地点。递交响应文件截止时间以后送达的响应文件将不予接收，采购单位将告知供应商不予接收的原因。</w:t>
      </w:r>
    </w:p>
    <w:p w14:paraId="15962F9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13.2.</w:t>
      </w:r>
      <w:r>
        <w:rPr>
          <w:rFonts w:hint="eastAsia" w:ascii="仿宋" w:hAnsi="仿宋" w:eastAsia="仿宋" w:cs="仿宋"/>
          <w:color w:val="auto"/>
          <w:szCs w:val="21"/>
          <w:highlight w:val="none"/>
          <w:lang w:val="en-US" w:eastAsia="zh-CN"/>
        </w:rPr>
        <w:t>递交响应文件时，报名供应商名称和竞争性谈判文件的文号、分包号应当与供应商名称和响应文件的文号、分包号一致。但是，响应文件实质内容报名供应商名称和竞争性谈判文件的文号、分包号一致，只是封面文字错误的，可以在评审过程中当面予以澄清，以有效的澄清材料作为认定响应文件是否有效的依据。</w:t>
      </w:r>
    </w:p>
    <w:p w14:paraId="02EB7B0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13.3.</w:t>
      </w:r>
      <w:r>
        <w:rPr>
          <w:rFonts w:hint="eastAsia" w:ascii="仿宋" w:hAnsi="仿宋" w:eastAsia="仿宋" w:cs="仿宋"/>
          <w:color w:val="auto"/>
          <w:szCs w:val="21"/>
          <w:highlight w:val="none"/>
          <w:lang w:val="en-US" w:eastAsia="zh-CN"/>
        </w:rPr>
        <w:t>最后报价表在谈判后，由谈判小组要求供应商进行最后报价时，单独放在最后报价响应文件袋内密封后递交。</w:t>
      </w:r>
    </w:p>
    <w:p w14:paraId="0F84592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13.4.</w:t>
      </w:r>
      <w:r>
        <w:rPr>
          <w:rFonts w:hint="eastAsia" w:ascii="仿宋" w:hAnsi="仿宋" w:eastAsia="仿宋" w:cs="仿宋"/>
          <w:color w:val="auto"/>
          <w:szCs w:val="21"/>
          <w:highlight w:val="none"/>
          <w:lang w:val="en-US" w:eastAsia="zh-CN"/>
        </w:rPr>
        <w:t>本次采购不接收邮寄的响应文件。</w:t>
      </w:r>
    </w:p>
    <w:p w14:paraId="4BC1E3F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14.</w:t>
      </w:r>
      <w:r>
        <w:rPr>
          <w:rFonts w:hint="eastAsia" w:ascii="仿宋" w:hAnsi="仿宋" w:eastAsia="仿宋" w:cs="仿宋"/>
          <w:b/>
          <w:color w:val="auto"/>
          <w:szCs w:val="21"/>
          <w:highlight w:val="none"/>
          <w:lang w:val="en-US" w:eastAsia="zh-CN"/>
        </w:rPr>
        <w:t>响应文件的修改和撤回</w:t>
      </w:r>
    </w:p>
    <w:p w14:paraId="53D392A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14.1.</w:t>
      </w:r>
      <w:r>
        <w:rPr>
          <w:rFonts w:hint="eastAsia" w:ascii="仿宋" w:hAnsi="仿宋" w:eastAsia="仿宋" w:cs="仿宋"/>
          <w:color w:val="auto"/>
          <w:szCs w:val="21"/>
          <w:highlight w:val="none"/>
          <w:lang w:val="en-US" w:eastAsia="zh-CN"/>
        </w:rPr>
        <w:t>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14:paraId="1384B00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14.2.</w:t>
      </w:r>
      <w:r>
        <w:rPr>
          <w:rFonts w:hint="eastAsia" w:ascii="仿宋" w:hAnsi="仿宋" w:eastAsia="仿宋" w:cs="仿宋"/>
          <w:color w:val="auto"/>
          <w:szCs w:val="21"/>
          <w:highlight w:val="none"/>
          <w:lang w:val="en-US" w:eastAsia="zh-CN"/>
        </w:rPr>
        <w:t>供应商对响应文件修改的书面材料或撤销的通知应该按本章的规定进行编写、密封、标注和递送，并注明“修改”或“撤销”字样。</w:t>
      </w:r>
    </w:p>
    <w:p w14:paraId="08858C9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14.3.</w:t>
      </w:r>
      <w:r>
        <w:rPr>
          <w:rFonts w:hint="eastAsia" w:ascii="仿宋" w:hAnsi="仿宋" w:eastAsia="仿宋" w:cs="仿宋"/>
          <w:color w:val="auto"/>
          <w:szCs w:val="21"/>
          <w:highlight w:val="none"/>
          <w:lang w:val="en-US" w:eastAsia="zh-CN"/>
        </w:rPr>
        <w:t>供应商不得在递交截止时间起至响应文件有效期期满前撤销其响应文件，否则将认定其响应文件有效期的承诺为虚假承诺，并依法追究其法律责任。</w:t>
      </w:r>
    </w:p>
    <w:p w14:paraId="3CBA1C9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14.4.</w:t>
      </w:r>
      <w:r>
        <w:rPr>
          <w:rFonts w:hint="eastAsia" w:ascii="仿宋" w:hAnsi="仿宋" w:eastAsia="仿宋" w:cs="仿宋"/>
          <w:color w:val="auto"/>
          <w:szCs w:val="21"/>
          <w:highlight w:val="none"/>
          <w:lang w:val="en-US" w:eastAsia="zh-CN"/>
        </w:rPr>
        <w:t>供应商对其提交的响应文件的真实性、合法性承担法律责任。</w:t>
      </w:r>
    </w:p>
    <w:p w14:paraId="350BF351">
      <w:pPr>
        <w:outlineLvl w:val="9"/>
        <w:rPr>
          <w:rFonts w:hint="eastAsia" w:ascii="仿宋" w:hAnsi="仿宋" w:eastAsia="仿宋" w:cs="仿宋"/>
          <w:b w:val="0"/>
          <w:bCs/>
          <w:color w:val="auto"/>
          <w:kern w:val="2"/>
          <w:sz w:val="28"/>
          <w:szCs w:val="28"/>
          <w:highlight w:val="none"/>
          <w:lang w:val="en-US" w:eastAsia="zh-CN" w:bidi="ar-SA"/>
        </w:rPr>
      </w:pPr>
    </w:p>
    <w:p w14:paraId="5D22A792">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（五）</w:t>
      </w:r>
      <w:r>
        <w:rPr>
          <w:rFonts w:hint="eastAsia" w:ascii="仿宋" w:hAnsi="仿宋" w:eastAsia="仿宋" w:cs="仿宋"/>
          <w:b w:val="0"/>
          <w:color w:val="auto"/>
          <w:sz w:val="28"/>
          <w:szCs w:val="28"/>
          <w:highlight w:val="none"/>
        </w:rPr>
        <w:t>评审事项</w:t>
      </w:r>
    </w:p>
    <w:p w14:paraId="72CF0E6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15.</w:t>
      </w:r>
      <w:r>
        <w:rPr>
          <w:rFonts w:hint="eastAsia" w:ascii="仿宋" w:hAnsi="仿宋" w:eastAsia="仿宋" w:cs="仿宋"/>
          <w:b/>
          <w:color w:val="auto"/>
          <w:szCs w:val="21"/>
          <w:highlight w:val="none"/>
        </w:rPr>
        <w:t>评审方式</w:t>
      </w:r>
    </w:p>
    <w:p w14:paraId="64283AF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15.1.</w:t>
      </w:r>
      <w:r>
        <w:rPr>
          <w:rFonts w:hint="eastAsia" w:ascii="仿宋" w:hAnsi="仿宋" w:eastAsia="仿宋" w:cs="仿宋"/>
          <w:color w:val="auto"/>
          <w:szCs w:val="21"/>
          <w:highlight w:val="none"/>
          <w:lang w:val="en-US" w:eastAsia="zh-CN"/>
        </w:rPr>
        <w:t>谈判小组的组建及其评审工作按照有关法律制度和本文件第八章内容规定进行。</w:t>
      </w:r>
    </w:p>
    <w:p w14:paraId="5A0B7EA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15.2.</w:t>
      </w:r>
      <w:r>
        <w:rPr>
          <w:rFonts w:hint="eastAsia" w:ascii="仿宋" w:hAnsi="仿宋" w:eastAsia="仿宋" w:cs="仿宋"/>
          <w:color w:val="auto"/>
          <w:szCs w:val="21"/>
          <w:highlight w:val="none"/>
        </w:rPr>
        <w:t>采购人委派的监督人员负责评审现场的监督工作。</w:t>
      </w:r>
    </w:p>
    <w:p w14:paraId="52A2BC67">
      <w:pPr>
        <w:outlineLvl w:val="9"/>
        <w:rPr>
          <w:rFonts w:hint="eastAsia" w:ascii="仿宋" w:hAnsi="仿宋" w:eastAsia="仿宋" w:cs="仿宋"/>
          <w:b w:val="0"/>
          <w:bCs/>
          <w:color w:val="auto"/>
          <w:kern w:val="2"/>
          <w:sz w:val="28"/>
          <w:szCs w:val="28"/>
          <w:highlight w:val="none"/>
          <w:lang w:val="en-US" w:eastAsia="zh-CN" w:bidi="ar-SA"/>
        </w:rPr>
      </w:pPr>
    </w:p>
    <w:p w14:paraId="41BC3335">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（六）</w:t>
      </w:r>
      <w:r>
        <w:rPr>
          <w:rFonts w:hint="eastAsia" w:ascii="仿宋" w:hAnsi="仿宋" w:eastAsia="仿宋" w:cs="仿宋"/>
          <w:b w:val="0"/>
          <w:color w:val="auto"/>
          <w:sz w:val="28"/>
          <w:szCs w:val="28"/>
          <w:highlight w:val="none"/>
        </w:rPr>
        <w:t>成交事项</w:t>
      </w:r>
    </w:p>
    <w:p w14:paraId="3EF88B3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16.</w:t>
      </w:r>
      <w:r>
        <w:rPr>
          <w:rFonts w:hint="eastAsia" w:ascii="仿宋" w:hAnsi="仿宋" w:eastAsia="仿宋" w:cs="仿宋"/>
          <w:b/>
          <w:color w:val="auto"/>
          <w:szCs w:val="21"/>
          <w:highlight w:val="none"/>
        </w:rPr>
        <w:t>确定成交人</w:t>
      </w:r>
    </w:p>
    <w:p w14:paraId="188AD41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16.1.</w:t>
      </w:r>
      <w:r>
        <w:rPr>
          <w:rFonts w:hint="eastAsia" w:ascii="仿宋" w:hAnsi="仿宋" w:eastAsia="仿宋" w:cs="仿宋"/>
          <w:color w:val="auto"/>
          <w:szCs w:val="21"/>
          <w:highlight w:val="none"/>
        </w:rPr>
        <w:t>本项目确定成交人的方式，以“须知前附表”为准。</w:t>
      </w:r>
    </w:p>
    <w:p w14:paraId="1607A1E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17.</w:t>
      </w:r>
      <w:r>
        <w:rPr>
          <w:rFonts w:hint="eastAsia" w:ascii="仿宋" w:hAnsi="仿宋" w:eastAsia="仿宋" w:cs="仿宋"/>
          <w:b/>
          <w:color w:val="auto"/>
          <w:szCs w:val="21"/>
          <w:highlight w:val="none"/>
        </w:rPr>
        <w:t>成交通知书</w:t>
      </w:r>
    </w:p>
    <w:p w14:paraId="6C31042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17.1.</w:t>
      </w:r>
      <w:r>
        <w:rPr>
          <w:rFonts w:hint="eastAsia" w:ascii="仿宋" w:hAnsi="仿宋" w:eastAsia="仿宋" w:cs="仿宋"/>
          <w:color w:val="auto"/>
          <w:szCs w:val="21"/>
          <w:highlight w:val="none"/>
          <w:lang w:val="en-US" w:eastAsia="zh-CN"/>
        </w:rPr>
        <w:t>成交通知书为签订采购合同的依据之一，是合同的有效组成部分。</w:t>
      </w:r>
    </w:p>
    <w:p w14:paraId="3D083E7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17.2.</w:t>
      </w:r>
      <w:r>
        <w:rPr>
          <w:rFonts w:hint="eastAsia" w:ascii="仿宋" w:hAnsi="仿宋" w:eastAsia="仿宋" w:cs="仿宋"/>
          <w:color w:val="auto"/>
          <w:szCs w:val="21"/>
          <w:highlight w:val="none"/>
          <w:lang w:val="en-US" w:eastAsia="zh-CN"/>
        </w:rPr>
        <w:t>成交通知书对采购人和成交供应商均具有法律效力。成交通知书发出后，采购人无正当理由改变成交结果，或者成交供应商无正当理由放弃成交的，将承担相应的法律责任。</w:t>
      </w:r>
    </w:p>
    <w:p w14:paraId="5DD88B9B">
      <w:pPr>
        <w:outlineLvl w:val="9"/>
        <w:rPr>
          <w:rFonts w:hint="eastAsia" w:ascii="仿宋" w:hAnsi="仿宋" w:eastAsia="仿宋" w:cs="仿宋"/>
          <w:b w:val="0"/>
          <w:bCs/>
          <w:color w:val="auto"/>
          <w:kern w:val="2"/>
          <w:sz w:val="28"/>
          <w:szCs w:val="28"/>
          <w:highlight w:val="none"/>
          <w:lang w:val="en-US" w:eastAsia="zh-CN" w:bidi="ar-SA"/>
        </w:rPr>
      </w:pPr>
    </w:p>
    <w:p w14:paraId="5B814685">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（七）</w:t>
      </w:r>
      <w:r>
        <w:rPr>
          <w:rFonts w:hint="eastAsia" w:ascii="仿宋" w:hAnsi="仿宋" w:eastAsia="仿宋" w:cs="仿宋"/>
          <w:b w:val="0"/>
          <w:color w:val="auto"/>
          <w:sz w:val="28"/>
          <w:szCs w:val="28"/>
          <w:highlight w:val="none"/>
        </w:rPr>
        <w:t>合同事项</w:t>
      </w:r>
    </w:p>
    <w:p w14:paraId="7BB6E6C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18.</w:t>
      </w:r>
      <w:r>
        <w:rPr>
          <w:rFonts w:hint="eastAsia" w:ascii="仿宋" w:hAnsi="仿宋" w:eastAsia="仿宋" w:cs="仿宋"/>
          <w:b/>
          <w:color w:val="auto"/>
          <w:szCs w:val="21"/>
          <w:highlight w:val="none"/>
        </w:rPr>
        <w:t>签订合同</w:t>
      </w:r>
    </w:p>
    <w:p w14:paraId="63B7BDEC">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18.1.</w:t>
      </w:r>
      <w:r>
        <w:rPr>
          <w:rFonts w:hint="eastAsia" w:ascii="仿宋" w:hAnsi="仿宋" w:eastAsia="仿宋" w:cs="仿宋"/>
          <w:color w:val="auto"/>
          <w:highlight w:val="none"/>
        </w:rPr>
        <w:t>除谈判文件另有规定外，成交人应在成交通知书发出之日起30日内与采购人签订采购合同。由于成交供应商的原因逾期未与采购人签订采购合同的，将视为拒绝与采购人签订采购合同，采购人将按相关规定进行处理；由于采购人的原因逾期未签订采购合同的，由采购人承担相应法律责任。</w:t>
      </w:r>
    </w:p>
    <w:p w14:paraId="5E51904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18.2.</w:t>
      </w:r>
      <w:r>
        <w:rPr>
          <w:rFonts w:hint="eastAsia" w:ascii="仿宋" w:hAnsi="仿宋" w:eastAsia="仿宋" w:cs="仿宋"/>
          <w:color w:val="auto"/>
          <w:highlight w:val="none"/>
        </w:rPr>
        <w:t>采购合同应当依据谈判文件、成交供应商的响应文件及双方确认的澄清文件等签订；采购人不得向成交供应商提出任何不合理的要求，作为签订合同的条件，不得与成交供应商私下订立背离合同实质性内容的任何协议。</w:t>
      </w:r>
    </w:p>
    <w:p w14:paraId="7ADC3122">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19.</w:t>
      </w:r>
      <w:r>
        <w:rPr>
          <w:rFonts w:hint="eastAsia" w:ascii="仿宋" w:hAnsi="仿宋" w:eastAsia="仿宋" w:cs="仿宋"/>
          <w:b/>
          <w:color w:val="auto"/>
          <w:szCs w:val="21"/>
          <w:highlight w:val="none"/>
        </w:rPr>
        <w:t>合同分包（实质性要求）</w:t>
      </w:r>
    </w:p>
    <w:p w14:paraId="2E1A48C5">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19.1.</w:t>
      </w:r>
      <w:r>
        <w:rPr>
          <w:rFonts w:hint="eastAsia" w:ascii="仿宋" w:hAnsi="仿宋" w:eastAsia="仿宋" w:cs="仿宋"/>
          <w:color w:val="auto"/>
          <w:highlight w:val="none"/>
        </w:rPr>
        <w:t>除落实采购政策外，本项目合同接受分包与否，以“须知前附表”为准。</w:t>
      </w:r>
    </w:p>
    <w:p w14:paraId="0E155220">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19.2.</w:t>
      </w:r>
      <w:r>
        <w:rPr>
          <w:rFonts w:hint="eastAsia" w:ascii="仿宋" w:hAnsi="仿宋" w:eastAsia="仿宋" w:cs="仿宋"/>
          <w:color w:val="auto"/>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466D97B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20.</w:t>
      </w:r>
      <w:r>
        <w:rPr>
          <w:rFonts w:hint="eastAsia" w:ascii="仿宋" w:hAnsi="仿宋" w:eastAsia="仿宋" w:cs="仿宋"/>
          <w:b/>
          <w:color w:val="auto"/>
          <w:szCs w:val="21"/>
          <w:highlight w:val="none"/>
        </w:rPr>
        <w:t>合同转包（实质性要求）</w:t>
      </w:r>
    </w:p>
    <w:p w14:paraId="3C5DB98D">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20.1.</w:t>
      </w:r>
      <w:r>
        <w:rPr>
          <w:rFonts w:hint="eastAsia" w:ascii="仿宋" w:hAnsi="仿宋" w:eastAsia="仿宋" w:cs="仿宋"/>
          <w:color w:val="auto"/>
          <w:highlight w:val="none"/>
        </w:rPr>
        <w:t>本采购项目严禁成交供应商将任何采购合同转包。本项目所称转包，是指成交供应商签订采购合同后，不履行合同约定的责任和义务，将其全部转给他人或者将其肢解以后以分包的名义分别转给其他单位承包的行为。</w:t>
      </w:r>
    </w:p>
    <w:p w14:paraId="7970730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20.2.</w:t>
      </w:r>
      <w:r>
        <w:rPr>
          <w:rFonts w:hint="eastAsia" w:ascii="仿宋" w:hAnsi="仿宋" w:eastAsia="仿宋" w:cs="仿宋"/>
          <w:color w:val="auto"/>
          <w:highlight w:val="none"/>
        </w:rPr>
        <w:t>成交人转包的，将依法追究法律责任。</w:t>
      </w:r>
    </w:p>
    <w:p w14:paraId="32B78E6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21.</w:t>
      </w:r>
      <w:r>
        <w:rPr>
          <w:rFonts w:hint="eastAsia" w:ascii="仿宋" w:hAnsi="仿宋" w:eastAsia="仿宋" w:cs="仿宋"/>
          <w:b/>
          <w:color w:val="auto"/>
          <w:szCs w:val="21"/>
          <w:highlight w:val="none"/>
        </w:rPr>
        <w:t>补充合同</w:t>
      </w:r>
    </w:p>
    <w:p w14:paraId="65155FE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21.1.</w:t>
      </w:r>
      <w:r>
        <w:rPr>
          <w:rFonts w:hint="eastAsia" w:ascii="仿宋" w:hAnsi="仿宋" w:eastAsia="仿宋" w:cs="仿宋"/>
          <w:color w:val="auto"/>
          <w:szCs w:val="21"/>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14:paraId="6E7BCBF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22.</w:t>
      </w:r>
      <w:r>
        <w:rPr>
          <w:rFonts w:hint="eastAsia" w:ascii="仿宋" w:hAnsi="仿宋" w:eastAsia="仿宋" w:cs="仿宋"/>
          <w:b/>
          <w:color w:val="auto"/>
          <w:szCs w:val="21"/>
          <w:highlight w:val="none"/>
        </w:rPr>
        <w:t>履行合同</w:t>
      </w:r>
    </w:p>
    <w:p w14:paraId="2428606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22.1.</w:t>
      </w:r>
      <w:r>
        <w:rPr>
          <w:rFonts w:hint="eastAsia" w:ascii="仿宋" w:hAnsi="仿宋" w:eastAsia="仿宋" w:cs="仿宋"/>
          <w:color w:val="auto"/>
          <w:szCs w:val="21"/>
          <w:highlight w:val="none"/>
        </w:rPr>
        <w:t>成交供应商与采购人签订合同后，合同双方应严格执行合同条款，履行合同规定的义务，保证合同的顺利完成。</w:t>
      </w:r>
    </w:p>
    <w:p w14:paraId="53F1686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22.2.</w:t>
      </w:r>
      <w:r>
        <w:rPr>
          <w:rFonts w:hint="eastAsia" w:ascii="仿宋" w:hAnsi="仿宋" w:eastAsia="仿宋" w:cs="仿宋"/>
          <w:color w:val="auto"/>
          <w:szCs w:val="21"/>
          <w:highlight w:val="none"/>
        </w:rPr>
        <w:t>在合同履行过程中，如发生合同纠纷，合同双方应按照合同约定及《中华人民共和国民法典》的有关规定进行处理。</w:t>
      </w:r>
    </w:p>
    <w:p w14:paraId="6C9EA824">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23.</w:t>
      </w:r>
      <w:r>
        <w:rPr>
          <w:rFonts w:hint="eastAsia" w:ascii="仿宋" w:hAnsi="仿宋" w:eastAsia="仿宋" w:cs="仿宋"/>
          <w:b/>
          <w:color w:val="auto"/>
          <w:szCs w:val="21"/>
          <w:highlight w:val="none"/>
        </w:rPr>
        <w:t>验收</w:t>
      </w:r>
    </w:p>
    <w:p w14:paraId="289F22A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23.1.</w:t>
      </w:r>
      <w:r>
        <w:rPr>
          <w:rFonts w:hint="eastAsia" w:ascii="仿宋" w:hAnsi="仿宋" w:eastAsia="仿宋" w:cs="仿宋"/>
          <w:color w:val="auto"/>
          <w:szCs w:val="21"/>
          <w:highlight w:val="none"/>
        </w:rPr>
        <w:t>按国家相关规定、谈判文件的服务质量要求、成交的响应文件及承诺以及合同约定标准进行验收。</w:t>
      </w:r>
    </w:p>
    <w:p w14:paraId="045BBC7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23.2.</w:t>
      </w:r>
      <w:r>
        <w:rPr>
          <w:rFonts w:hint="eastAsia" w:ascii="仿宋" w:hAnsi="仿宋" w:eastAsia="仿宋" w:cs="仿宋"/>
          <w:color w:val="auto"/>
          <w:szCs w:val="21"/>
          <w:highlight w:val="none"/>
        </w:rPr>
        <w:t>验收结果合格的，采购人应向成交供应商出具履约验收报告，成交供应商凭验收报告办理相关手续。</w:t>
      </w:r>
    </w:p>
    <w:p w14:paraId="5DED40D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23.3.</w:t>
      </w:r>
      <w:r>
        <w:rPr>
          <w:rFonts w:hint="eastAsia" w:ascii="仿宋" w:hAnsi="仿宋" w:eastAsia="仿宋" w:cs="仿宋"/>
          <w:color w:val="auto"/>
          <w:szCs w:val="21"/>
          <w:highlight w:val="none"/>
        </w:rPr>
        <w:t>验收结果不合格的，履约保证金将不予退还，给采购人造成的损失超过履约保证金数额的，还应当对超过部分予以赔偿；没有提交履约保证金的，应当对采购人的损失承担赔偿责任。</w:t>
      </w:r>
    </w:p>
    <w:p w14:paraId="24F89D6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24.</w:t>
      </w:r>
      <w:r>
        <w:rPr>
          <w:rFonts w:hint="eastAsia" w:ascii="仿宋" w:hAnsi="仿宋" w:eastAsia="仿宋" w:cs="仿宋"/>
          <w:b/>
          <w:color w:val="auto"/>
          <w:szCs w:val="21"/>
          <w:highlight w:val="none"/>
        </w:rPr>
        <w:t>资金支付</w:t>
      </w:r>
    </w:p>
    <w:p w14:paraId="3CA1C81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24.1.</w:t>
      </w:r>
      <w:r>
        <w:rPr>
          <w:rFonts w:hint="eastAsia" w:ascii="仿宋" w:hAnsi="仿宋" w:eastAsia="仿宋" w:cs="仿宋"/>
          <w:color w:val="auto"/>
          <w:szCs w:val="21"/>
          <w:highlight w:val="none"/>
        </w:rPr>
        <w:t>采购人将按照采购合同规定，及时向成交人支付采购资金。本项目采购资金付款详见第五章规定的付款方式。</w:t>
      </w:r>
    </w:p>
    <w:p w14:paraId="6F1D3CAB">
      <w:pPr>
        <w:outlineLvl w:val="9"/>
        <w:rPr>
          <w:rFonts w:hint="eastAsia" w:ascii="仿宋" w:hAnsi="仿宋" w:eastAsia="仿宋" w:cs="仿宋"/>
          <w:b w:val="0"/>
          <w:bCs/>
          <w:color w:val="auto"/>
          <w:kern w:val="2"/>
          <w:sz w:val="28"/>
          <w:szCs w:val="28"/>
          <w:highlight w:val="none"/>
          <w:lang w:val="en-US" w:eastAsia="zh-CN" w:bidi="ar-SA"/>
        </w:rPr>
      </w:pPr>
    </w:p>
    <w:p w14:paraId="4C38960E">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（八）</w:t>
      </w:r>
      <w:r>
        <w:rPr>
          <w:rFonts w:hint="eastAsia" w:ascii="仿宋" w:hAnsi="仿宋" w:eastAsia="仿宋" w:cs="仿宋"/>
          <w:b w:val="0"/>
          <w:color w:val="auto"/>
          <w:sz w:val="28"/>
          <w:szCs w:val="28"/>
          <w:highlight w:val="none"/>
        </w:rPr>
        <w:t>纪律要求</w:t>
      </w:r>
    </w:p>
    <w:p w14:paraId="13BA9A33">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25.</w:t>
      </w:r>
      <w:r>
        <w:rPr>
          <w:rFonts w:hint="eastAsia" w:ascii="仿宋" w:hAnsi="仿宋" w:eastAsia="仿宋" w:cs="仿宋"/>
          <w:b/>
          <w:color w:val="auto"/>
          <w:szCs w:val="21"/>
          <w:highlight w:val="none"/>
        </w:rPr>
        <w:t>回避</w:t>
      </w:r>
    </w:p>
    <w:p w14:paraId="0DB4640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25.1.</w:t>
      </w:r>
      <w:r>
        <w:rPr>
          <w:rFonts w:hint="eastAsia" w:ascii="仿宋" w:hAnsi="仿宋" w:eastAsia="仿宋" w:cs="仿宋"/>
          <w:color w:val="auto"/>
          <w:szCs w:val="21"/>
          <w:highlight w:val="none"/>
        </w:rPr>
        <w:t>采购活动中，采购人员及相关人员与供应商有下列利害关系之一的，应当回避：</w:t>
      </w:r>
    </w:p>
    <w:p w14:paraId="5DA72D7D">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参加采购活动前3年内与供应商存在劳动关系；</w:t>
      </w:r>
    </w:p>
    <w:p w14:paraId="3B6AB2AD">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参加采购活动前3年内担任供应商的董事、监事；</w:t>
      </w:r>
    </w:p>
    <w:p w14:paraId="532B5A0D">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参加采购活动前3年内是供应商的控股股东或者实际控制人；</w:t>
      </w:r>
    </w:p>
    <w:p w14:paraId="030EFCA3">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与供应商的法定代表人或者负责人有夫妻、直系血亲、三代以内旁系血亲或者近姻亲关系；</w:t>
      </w:r>
    </w:p>
    <w:p w14:paraId="56C756F8">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与供应商有其他可能影响采购活动公平、公正进行的关系。</w:t>
      </w:r>
    </w:p>
    <w:p w14:paraId="30A4400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25.2.</w:t>
      </w:r>
      <w:r>
        <w:rPr>
          <w:rFonts w:hint="eastAsia" w:ascii="仿宋" w:hAnsi="仿宋" w:eastAsia="仿宋" w:cs="仿宋"/>
          <w:color w:val="auto"/>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44D3D12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26.</w:t>
      </w:r>
      <w:r>
        <w:rPr>
          <w:rFonts w:hint="eastAsia" w:ascii="仿宋" w:hAnsi="仿宋" w:eastAsia="仿宋" w:cs="仿宋"/>
          <w:b/>
          <w:color w:val="auto"/>
          <w:szCs w:val="21"/>
          <w:highlight w:val="none"/>
        </w:rPr>
        <w:t>保密</w:t>
      </w:r>
    </w:p>
    <w:p w14:paraId="4048792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26.1.</w:t>
      </w:r>
      <w:r>
        <w:rPr>
          <w:rFonts w:hint="eastAsia" w:ascii="仿宋" w:hAnsi="仿宋" w:eastAsia="仿宋" w:cs="仿宋"/>
          <w:color w:val="auto"/>
          <w:szCs w:val="21"/>
          <w:highlight w:val="none"/>
        </w:rPr>
        <w:t>采购人、采购代理机构应保证谈判活动在严格保密的情况下进行，采购人、采购代理机构、供应商和谈判小组成员应当严格遵守采购法律法规规章制度和本项目谈判文件以及采购代理机构现场管理规定，接受采购人委派的监督人员的监督，任何单位和个人不得非法干预和影响谈判过程和结果。</w:t>
      </w:r>
    </w:p>
    <w:p w14:paraId="41F8518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26.2.</w:t>
      </w:r>
      <w:r>
        <w:rPr>
          <w:rFonts w:hint="eastAsia" w:ascii="仿宋" w:hAnsi="仿宋" w:eastAsia="仿宋" w:cs="仿宋"/>
          <w:color w:val="auto"/>
          <w:szCs w:val="21"/>
          <w:highlight w:val="none"/>
        </w:rPr>
        <w:t>在谈判过程中，供应商不得以任何形式和谈判小组成员进行旨在影响谈判结果的私下接触，否则将取消其参与谈判的资格。</w:t>
      </w:r>
    </w:p>
    <w:p w14:paraId="1EBAFB8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26.3.</w:t>
      </w:r>
      <w:r>
        <w:rPr>
          <w:rFonts w:hint="eastAsia" w:ascii="仿宋" w:hAnsi="仿宋" w:eastAsia="仿宋" w:cs="仿宋"/>
          <w:color w:val="auto"/>
          <w:szCs w:val="21"/>
          <w:highlight w:val="none"/>
        </w:rPr>
        <w:t>对各供应商的商业秘密，谈判小组成员应予以保密，不得泄露给其他供应商。</w:t>
      </w:r>
    </w:p>
    <w:p w14:paraId="5DB89D99">
      <w:pPr>
        <w:widowControl/>
        <w:jc w:val="left"/>
        <w:rPr>
          <w:rFonts w:hint="eastAsia" w:ascii="仿宋" w:hAnsi="仿宋" w:eastAsia="仿宋" w:cs="仿宋"/>
          <w:b/>
          <w:bCs/>
          <w:color w:val="auto"/>
          <w:kern w:val="44"/>
          <w:sz w:val="32"/>
          <w:szCs w:val="32"/>
          <w:highlight w:val="none"/>
        </w:rPr>
      </w:pPr>
      <w:bookmarkStart w:id="13" w:name="_Toc509380477"/>
      <w:bookmarkStart w:id="14" w:name="_Toc11831378"/>
      <w:bookmarkStart w:id="15" w:name="_Toc498593005"/>
      <w:bookmarkStart w:id="16" w:name="_Toc498593030"/>
      <w:r>
        <w:rPr>
          <w:rFonts w:hint="eastAsia" w:ascii="仿宋" w:hAnsi="仿宋" w:eastAsia="仿宋" w:cs="仿宋"/>
          <w:color w:val="auto"/>
          <w:sz w:val="32"/>
          <w:szCs w:val="32"/>
          <w:highlight w:val="none"/>
        </w:rPr>
        <w:br w:type="page"/>
      </w:r>
    </w:p>
    <w:p w14:paraId="7E288DE3">
      <w:pPr>
        <w:pStyle w:val="2"/>
        <w:spacing w:line="240" w:lineRule="auto"/>
        <w:jc w:val="center"/>
        <w:rPr>
          <w:rFonts w:hint="eastAsia" w:ascii="仿宋" w:hAnsi="仿宋" w:eastAsia="仿宋" w:cs="仿宋"/>
          <w:color w:val="auto"/>
          <w:sz w:val="32"/>
          <w:szCs w:val="32"/>
          <w:highlight w:val="none"/>
        </w:rPr>
      </w:pPr>
      <w:bookmarkStart w:id="17" w:name="_Toc29823"/>
      <w:r>
        <w:rPr>
          <w:rFonts w:hint="eastAsia" w:ascii="仿宋" w:hAnsi="仿宋" w:eastAsia="仿宋" w:cs="仿宋"/>
          <w:color w:val="auto"/>
          <w:sz w:val="32"/>
          <w:szCs w:val="32"/>
          <w:highlight w:val="none"/>
        </w:rPr>
        <w:t xml:space="preserve">第三章  </w:t>
      </w:r>
      <w:bookmarkEnd w:id="13"/>
      <w:bookmarkEnd w:id="14"/>
      <w:r>
        <w:rPr>
          <w:rFonts w:hint="eastAsia" w:ascii="仿宋" w:hAnsi="仿宋" w:eastAsia="仿宋" w:cs="仿宋"/>
          <w:color w:val="auto"/>
          <w:sz w:val="32"/>
          <w:szCs w:val="32"/>
          <w:highlight w:val="none"/>
        </w:rPr>
        <w:t>供应商的资格要求</w:t>
      </w:r>
      <w:bookmarkEnd w:id="17"/>
    </w:p>
    <w:p w14:paraId="27FB3ACA">
      <w:pPr>
        <w:pStyle w:val="6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w:t>
      </w:r>
      <w:r>
        <w:rPr>
          <w:rFonts w:hint="eastAsia" w:ascii="仿宋" w:hAnsi="仿宋" w:eastAsia="仿宋" w:cs="仿宋"/>
          <w:b/>
          <w:color w:val="auto"/>
          <w:szCs w:val="21"/>
          <w:highlight w:val="none"/>
          <w:lang w:eastAsia="zh-CN"/>
        </w:rPr>
        <w:t>供应商应满足的一般资格条件</w:t>
      </w:r>
      <w:r>
        <w:rPr>
          <w:rFonts w:hint="eastAsia" w:ascii="仿宋" w:hAnsi="仿宋" w:eastAsia="仿宋" w:cs="仿宋"/>
          <w:b/>
          <w:color w:val="auto"/>
          <w:szCs w:val="21"/>
          <w:highlight w:val="none"/>
        </w:rPr>
        <w:t>：</w:t>
      </w:r>
    </w:p>
    <w:p w14:paraId="169694EF">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r>
        <w:rPr>
          <w:rFonts w:hint="eastAsia" w:ascii="仿宋" w:hAnsi="仿宋" w:eastAsia="仿宋" w:cs="仿宋"/>
          <w:color w:val="auto"/>
          <w:szCs w:val="21"/>
          <w:highlight w:val="none"/>
        </w:rPr>
        <w:t>具有独立承担民事责任的能力；</w:t>
      </w:r>
    </w:p>
    <w:p w14:paraId="3F1B7112">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1.2.</w:t>
      </w:r>
      <w:r>
        <w:rPr>
          <w:rFonts w:hint="eastAsia" w:ascii="仿宋" w:hAnsi="仿宋" w:eastAsia="仿宋" w:cs="仿宋"/>
          <w:color w:val="auto"/>
          <w:szCs w:val="21"/>
          <w:highlight w:val="none"/>
        </w:rPr>
        <w:t>具有良好的商业信誉和健全的财务会计制度；</w:t>
      </w:r>
    </w:p>
    <w:p w14:paraId="72DEC9D3">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1.3.</w:t>
      </w:r>
      <w:r>
        <w:rPr>
          <w:rFonts w:hint="eastAsia" w:ascii="仿宋" w:hAnsi="仿宋" w:eastAsia="仿宋" w:cs="仿宋"/>
          <w:color w:val="auto"/>
          <w:szCs w:val="21"/>
          <w:highlight w:val="none"/>
        </w:rPr>
        <w:t>具有履行合同所必须的设备和专业技术能力；</w:t>
      </w:r>
    </w:p>
    <w:p w14:paraId="1D8133E4">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1.4.</w:t>
      </w:r>
      <w:r>
        <w:rPr>
          <w:rFonts w:hint="eastAsia" w:ascii="仿宋" w:hAnsi="仿宋" w:eastAsia="仿宋" w:cs="仿宋"/>
          <w:color w:val="auto"/>
          <w:szCs w:val="21"/>
          <w:highlight w:val="none"/>
        </w:rPr>
        <w:t>具有依法缴纳税收和社会保障资金的良好记录；</w:t>
      </w:r>
    </w:p>
    <w:p w14:paraId="6255FEF4">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w:t>
      </w:r>
      <w:r>
        <w:rPr>
          <w:rFonts w:hint="eastAsia" w:ascii="仿宋" w:hAnsi="仿宋" w:eastAsia="仿宋" w:cs="仿宋"/>
          <w:color w:val="auto"/>
          <w:szCs w:val="21"/>
          <w:highlight w:val="none"/>
        </w:rPr>
        <w:t>参加本次采购活动前三年内，在经营活动中没有重大违法记录；</w:t>
      </w:r>
    </w:p>
    <w:p w14:paraId="138BBE63">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1.6.</w:t>
      </w:r>
      <w:r>
        <w:rPr>
          <w:rFonts w:hint="eastAsia" w:ascii="仿宋" w:hAnsi="仿宋" w:eastAsia="仿宋" w:cs="仿宋"/>
          <w:color w:val="auto"/>
          <w:szCs w:val="21"/>
          <w:highlight w:val="none"/>
        </w:rPr>
        <w:t>法律、行政法规规定的其他条件：无。</w:t>
      </w:r>
    </w:p>
    <w:p w14:paraId="3D92913A">
      <w:pPr>
        <w:pStyle w:val="6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highlight w:val="none"/>
          <w:lang w:val="en-US" w:eastAsia="zh-CN" w:bidi="ar-SA"/>
        </w:rPr>
        <w:t>2.</w:t>
      </w:r>
      <w:r>
        <w:rPr>
          <w:rFonts w:hint="eastAsia" w:ascii="仿宋" w:hAnsi="仿宋" w:eastAsia="仿宋" w:cs="仿宋"/>
          <w:b/>
          <w:color w:val="auto"/>
          <w:szCs w:val="21"/>
          <w:highlight w:val="none"/>
        </w:rPr>
        <w:t>本项目的特定资格要求：</w:t>
      </w:r>
    </w:p>
    <w:p w14:paraId="62AA5882">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无。</w:t>
      </w:r>
    </w:p>
    <w:p w14:paraId="45BE8684">
      <w:pPr>
        <w:pStyle w:val="6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highlight w:val="none"/>
          <w:lang w:val="en-US" w:eastAsia="zh-CN" w:bidi="ar-SA"/>
        </w:rPr>
        <w:t>3.</w:t>
      </w:r>
      <w:r>
        <w:rPr>
          <w:rFonts w:hint="eastAsia" w:ascii="仿宋" w:hAnsi="仿宋" w:eastAsia="仿宋" w:cs="仿宋"/>
          <w:b/>
          <w:color w:val="auto"/>
          <w:szCs w:val="21"/>
          <w:highlight w:val="none"/>
          <w:lang w:eastAsia="zh-CN"/>
        </w:rPr>
        <w:t>本项目的其他类似效力要求：</w:t>
      </w:r>
    </w:p>
    <w:p w14:paraId="277BCA00">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3.1.</w:t>
      </w:r>
      <w:r>
        <w:rPr>
          <w:rFonts w:hint="eastAsia" w:ascii="仿宋" w:hAnsi="仿宋" w:eastAsia="仿宋" w:cs="仿宋"/>
          <w:color w:val="auto"/>
          <w:szCs w:val="21"/>
          <w:highlight w:val="none"/>
        </w:rPr>
        <w:t>本项目不允许联合体参加采购活动</w:t>
      </w:r>
      <w:r>
        <w:rPr>
          <w:rFonts w:hint="eastAsia" w:ascii="仿宋" w:hAnsi="仿宋" w:eastAsia="仿宋" w:cs="仿宋"/>
          <w:b w:val="0"/>
          <w:bCs/>
          <w:color w:val="auto"/>
          <w:szCs w:val="21"/>
          <w:highlight w:val="none"/>
        </w:rPr>
        <w:t>。</w:t>
      </w:r>
    </w:p>
    <w:p w14:paraId="67155BA7">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3.2.</w:t>
      </w:r>
      <w:r>
        <w:rPr>
          <w:rFonts w:hint="eastAsia" w:ascii="仿宋" w:hAnsi="仿宋" w:eastAsia="仿宋" w:cs="仿宋"/>
          <w:color w:val="auto"/>
          <w:szCs w:val="21"/>
          <w:highlight w:val="none"/>
        </w:rPr>
        <w:t>供应商代表为供应商法定代表人本人或其授权参加本次谈判活动的合法代表。</w:t>
      </w:r>
    </w:p>
    <w:p w14:paraId="4CBF58D6">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p>
    <w:p w14:paraId="36A7B991">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注：①本章第1.5条中的“重大违法记录”，即因违法经营受到刑事处罚或者责令停产停业、吊销许可证或者执照、较大数额罚款等行政处罚。</w:t>
      </w:r>
      <w:r>
        <w:rPr>
          <w:rFonts w:hint="eastAsia" w:ascii="仿宋" w:hAnsi="仿宋" w:eastAsia="仿宋" w:cs="仿宋"/>
          <w:color w:val="auto"/>
          <w:szCs w:val="21"/>
          <w:highlight w:val="none"/>
          <w:lang w:val="en-US" w:eastAsia="zh-CN"/>
        </w:rPr>
        <w:t>根据《财政部关于&lt;中华人民共和国政府采购法实施条例&gt;第十九条第一款“较大数额罚款”具体适用问题的意见》（财库〔2022〕3号）规定，“</w:t>
      </w:r>
      <w:r>
        <w:rPr>
          <w:rFonts w:hint="eastAsia" w:ascii="仿宋" w:hAnsi="仿宋" w:eastAsia="仿宋" w:cs="仿宋"/>
          <w:color w:val="auto"/>
          <w:szCs w:val="21"/>
          <w:highlight w:val="none"/>
        </w:rPr>
        <w:t>较大数额罚款</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认定</w:t>
      </w:r>
      <w:r>
        <w:rPr>
          <w:rFonts w:hint="eastAsia" w:ascii="仿宋" w:hAnsi="仿宋" w:eastAsia="仿宋" w:cs="仿宋"/>
          <w:color w:val="auto"/>
          <w:szCs w:val="21"/>
          <w:highlight w:val="none"/>
          <w:lang w:val="en-US" w:eastAsia="zh-CN"/>
        </w:rPr>
        <w:t>为200万元以上的罚款，法律、行政法规以及国务院有关部门明确规定相关领域“较大数额罚款”标准高于200万元的，从其规定</w:t>
      </w:r>
      <w:r>
        <w:rPr>
          <w:rFonts w:hint="eastAsia" w:ascii="仿宋" w:hAnsi="仿宋" w:eastAsia="仿宋" w:cs="仿宋"/>
          <w:color w:val="auto"/>
          <w:szCs w:val="21"/>
          <w:highlight w:val="none"/>
        </w:rPr>
        <w:t>。</w:t>
      </w:r>
    </w:p>
    <w:p w14:paraId="249755F9">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②供应商若不符合第二章须知前附表“信用记录查询及使用”规定，不予通过资格审查。</w:t>
      </w:r>
    </w:p>
    <w:p w14:paraId="77399C2E">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③供应商若不符合第二章须知前附表“充分、公平竞争保障措施”规定的，不予通过资格审查。</w:t>
      </w:r>
    </w:p>
    <w:p w14:paraId="08C48472">
      <w:pPr>
        <w:pStyle w:val="54"/>
        <w:spacing w:line="400" w:lineRule="exact"/>
        <w:ind w:left="420" w:firstLine="0" w:firstLineChars="0"/>
        <w:rPr>
          <w:rFonts w:hint="eastAsia" w:ascii="仿宋" w:hAnsi="仿宋" w:eastAsia="仿宋" w:cs="仿宋"/>
          <w:color w:val="auto"/>
          <w:szCs w:val="21"/>
          <w:highlight w:val="none"/>
        </w:rPr>
      </w:pPr>
    </w:p>
    <w:p w14:paraId="4C5A517E">
      <w:pPr>
        <w:widowControl/>
        <w:jc w:val="left"/>
        <w:rPr>
          <w:rFonts w:hint="eastAsia" w:ascii="仿宋" w:hAnsi="仿宋" w:eastAsia="仿宋" w:cs="仿宋"/>
          <w:b/>
          <w:bCs/>
          <w:color w:val="auto"/>
          <w:kern w:val="44"/>
          <w:sz w:val="32"/>
          <w:szCs w:val="32"/>
          <w:highlight w:val="none"/>
        </w:rPr>
      </w:pPr>
      <w:bookmarkStart w:id="18" w:name="_Toc509380478"/>
      <w:bookmarkStart w:id="19" w:name="_Toc11831379"/>
      <w:r>
        <w:rPr>
          <w:rFonts w:hint="eastAsia" w:ascii="仿宋" w:hAnsi="仿宋" w:eastAsia="仿宋" w:cs="仿宋"/>
          <w:color w:val="auto"/>
          <w:sz w:val="32"/>
          <w:szCs w:val="32"/>
          <w:highlight w:val="none"/>
        </w:rPr>
        <w:br w:type="page"/>
      </w:r>
    </w:p>
    <w:p w14:paraId="5FBDCA97">
      <w:pPr>
        <w:pStyle w:val="2"/>
        <w:spacing w:line="240" w:lineRule="auto"/>
        <w:jc w:val="center"/>
        <w:rPr>
          <w:rFonts w:hint="eastAsia" w:ascii="仿宋" w:hAnsi="仿宋" w:eastAsia="仿宋" w:cs="仿宋"/>
          <w:color w:val="auto"/>
          <w:sz w:val="32"/>
          <w:szCs w:val="32"/>
          <w:highlight w:val="none"/>
        </w:rPr>
      </w:pPr>
      <w:bookmarkStart w:id="20" w:name="_Toc30300"/>
      <w:r>
        <w:rPr>
          <w:rFonts w:hint="eastAsia" w:ascii="仿宋" w:hAnsi="仿宋" w:eastAsia="仿宋" w:cs="仿宋"/>
          <w:color w:val="auto"/>
          <w:sz w:val="32"/>
          <w:szCs w:val="32"/>
          <w:highlight w:val="none"/>
        </w:rPr>
        <w:t xml:space="preserve">第四章  </w:t>
      </w:r>
      <w:bookmarkEnd w:id="15"/>
      <w:bookmarkEnd w:id="16"/>
      <w:bookmarkEnd w:id="18"/>
      <w:bookmarkEnd w:id="19"/>
      <w:r>
        <w:rPr>
          <w:rFonts w:hint="eastAsia" w:ascii="仿宋" w:hAnsi="仿宋" w:eastAsia="仿宋" w:cs="仿宋"/>
          <w:color w:val="auto"/>
          <w:sz w:val="32"/>
          <w:szCs w:val="32"/>
          <w:highlight w:val="none"/>
        </w:rPr>
        <w:t>供应商应当提供的资格证明材料</w:t>
      </w:r>
      <w:bookmarkEnd w:id="20"/>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594"/>
        <w:gridCol w:w="7649"/>
      </w:tblGrid>
      <w:tr w14:paraId="4AA1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22BA681C">
            <w:pPr>
              <w:pStyle w:val="61"/>
              <w:spacing w:line="400" w:lineRule="exact"/>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800" w:type="pct"/>
            <w:vAlign w:val="center"/>
          </w:tcPr>
          <w:p w14:paraId="09A00512">
            <w:pPr>
              <w:pStyle w:val="61"/>
              <w:spacing w:line="400" w:lineRule="exact"/>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证明材料名称</w:t>
            </w:r>
          </w:p>
        </w:tc>
        <w:tc>
          <w:tcPr>
            <w:tcW w:w="3838" w:type="pct"/>
            <w:vAlign w:val="center"/>
          </w:tcPr>
          <w:p w14:paraId="787E94F5">
            <w:pPr>
              <w:pStyle w:val="61"/>
              <w:spacing w:line="400" w:lineRule="exact"/>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说明和要求</w:t>
            </w:r>
          </w:p>
        </w:tc>
      </w:tr>
      <w:tr w14:paraId="3B3B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FA2AA27">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708DA20E">
            <w:pPr>
              <w:pStyle w:val="61"/>
              <w:spacing w:line="400" w:lineRule="exact"/>
              <w:ind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资格声明函</w:t>
            </w:r>
          </w:p>
        </w:tc>
        <w:tc>
          <w:tcPr>
            <w:tcW w:w="3838" w:type="pct"/>
            <w:vAlign w:val="center"/>
          </w:tcPr>
          <w:p w14:paraId="75A17C20">
            <w:pPr>
              <w:pStyle w:val="61"/>
              <w:numPr>
                <w:ilvl w:val="0"/>
                <w:numId w:val="14"/>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提供有效的“资格声明函”（格式见第七章）。</w:t>
            </w:r>
          </w:p>
        </w:tc>
      </w:tr>
      <w:tr w14:paraId="220F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55345253">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2AF1F357">
            <w:pPr>
              <w:pStyle w:val="61"/>
              <w:spacing w:line="400" w:lineRule="exact"/>
              <w:ind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营业执照等证明材料</w:t>
            </w:r>
          </w:p>
        </w:tc>
        <w:tc>
          <w:tcPr>
            <w:tcW w:w="3838" w:type="pct"/>
            <w:vAlign w:val="center"/>
          </w:tcPr>
          <w:p w14:paraId="1037EBBC">
            <w:pPr>
              <w:pStyle w:val="61"/>
              <w:numPr>
                <w:ilvl w:val="0"/>
                <w:numId w:val="1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提供下述营业执照等证明材料（四选一）：</w:t>
            </w:r>
          </w:p>
          <w:p w14:paraId="7AE1B430">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供应商若为企业法人：提供有效的“统一社会信用代码营业执照”；未换证的提供有效的“营业执照、税务登记证、组织机构代码证或三证合一的营业执照”。</w:t>
            </w:r>
          </w:p>
          <w:p w14:paraId="21E76540">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供应商若为事业法人：提供有效的“统一社会信用代码法人登记证书”；未换证的提供有效的“事业法人登记证书、组织机构代码证”。</w:t>
            </w:r>
          </w:p>
          <w:p w14:paraId="77BD3709">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供应商若为其他组织：提供有效的“对应主管部门颁发的准许执业证明文件或营业执照”。</w:t>
            </w:r>
          </w:p>
          <w:p w14:paraId="7E9C5E41">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供应商若为自然人：提供有效的“身份证明材料”；身份证明材料包括在有效期内的居民身份证或户口本或军官证或护照等。</w:t>
            </w:r>
          </w:p>
        </w:tc>
      </w:tr>
      <w:tr w14:paraId="72E9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4BFC9B0C">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370753EB">
            <w:pPr>
              <w:pStyle w:val="61"/>
              <w:spacing w:line="400" w:lineRule="exact"/>
              <w:ind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特定资格要求</w:t>
            </w:r>
          </w:p>
        </w:tc>
        <w:tc>
          <w:tcPr>
            <w:tcW w:w="3838" w:type="pct"/>
            <w:vAlign w:val="center"/>
          </w:tcPr>
          <w:p w14:paraId="5AC69810">
            <w:pPr>
              <w:pStyle w:val="61"/>
              <w:numPr>
                <w:ilvl w:val="0"/>
                <w:numId w:val="17"/>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无</w:t>
            </w:r>
            <w:r>
              <w:rPr>
                <w:rFonts w:hint="eastAsia" w:ascii="仿宋" w:hAnsi="仿宋" w:eastAsia="仿宋" w:cs="仿宋"/>
                <w:color w:val="auto"/>
                <w:szCs w:val="21"/>
                <w:highlight w:val="none"/>
              </w:rPr>
              <w:t>。</w:t>
            </w:r>
          </w:p>
        </w:tc>
      </w:tr>
      <w:tr w14:paraId="7E59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295F2BB2">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32F39F66">
            <w:pPr>
              <w:pStyle w:val="61"/>
              <w:numPr>
                <w:ilvl w:val="0"/>
                <w:numId w:val="0"/>
              </w:numPr>
              <w:spacing w:line="400" w:lineRule="exact"/>
              <w:ind w:lef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参加本次谈判活动的合法代表证明材料</w:t>
            </w:r>
          </w:p>
        </w:tc>
        <w:tc>
          <w:tcPr>
            <w:tcW w:w="3838" w:type="pct"/>
            <w:vAlign w:val="center"/>
          </w:tcPr>
          <w:p w14:paraId="45E931A2">
            <w:pPr>
              <w:pStyle w:val="61"/>
              <w:numPr>
                <w:ilvl w:val="0"/>
                <w:numId w:val="18"/>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法定代表人身份证明书原件（供应商代表为法定代表人时提供）或法定代表人授权委托书原件（供应商代表为非法定代表人时提供）。</w:t>
            </w:r>
          </w:p>
        </w:tc>
      </w:tr>
    </w:tbl>
    <w:p w14:paraId="534BAD4E">
      <w:pPr>
        <w:spacing w:line="400" w:lineRule="exact"/>
        <w:rPr>
          <w:rFonts w:hint="eastAsia" w:ascii="仿宋" w:hAnsi="仿宋" w:eastAsia="仿宋" w:cs="仿宋"/>
          <w:color w:val="auto"/>
          <w:szCs w:val="21"/>
          <w:highlight w:val="none"/>
        </w:rPr>
      </w:pPr>
    </w:p>
    <w:p w14:paraId="6594914D">
      <w:pPr>
        <w:pStyle w:val="54"/>
        <w:widowControl/>
        <w:spacing w:line="340" w:lineRule="exact"/>
        <w:ind w:left="425" w:firstLine="0" w:firstLineChars="0"/>
        <w:jc w:val="left"/>
        <w:rPr>
          <w:rFonts w:hint="eastAsia" w:ascii="仿宋" w:hAnsi="仿宋" w:eastAsia="仿宋" w:cs="仿宋"/>
          <w:b/>
          <w:color w:val="auto"/>
          <w:szCs w:val="21"/>
          <w:highlight w:val="none"/>
        </w:rPr>
      </w:pPr>
    </w:p>
    <w:p w14:paraId="04658D23">
      <w:pPr>
        <w:widowControl/>
        <w:jc w:val="left"/>
        <w:rPr>
          <w:rFonts w:hint="eastAsia" w:ascii="仿宋" w:hAnsi="仿宋" w:eastAsia="仿宋" w:cs="仿宋"/>
          <w:b/>
          <w:color w:val="auto"/>
          <w:sz w:val="32"/>
          <w:szCs w:val="32"/>
          <w:highlight w:val="none"/>
        </w:rPr>
      </w:pPr>
      <w:bookmarkStart w:id="21" w:name="_Toc38440033"/>
      <w:bookmarkStart w:id="22" w:name="_Toc3902315"/>
      <w:r>
        <w:rPr>
          <w:rFonts w:hint="eastAsia" w:ascii="仿宋" w:hAnsi="仿宋" w:eastAsia="仿宋" w:cs="仿宋"/>
          <w:b/>
          <w:color w:val="auto"/>
          <w:sz w:val="32"/>
          <w:szCs w:val="32"/>
          <w:highlight w:val="none"/>
        </w:rPr>
        <w:br w:type="page"/>
      </w:r>
    </w:p>
    <w:p w14:paraId="1E7D4CFD">
      <w:pPr>
        <w:pStyle w:val="2"/>
        <w:spacing w:line="240" w:lineRule="auto"/>
        <w:jc w:val="center"/>
        <w:rPr>
          <w:rFonts w:hint="eastAsia" w:ascii="仿宋" w:hAnsi="仿宋" w:eastAsia="仿宋" w:cs="仿宋"/>
          <w:color w:val="auto"/>
          <w:sz w:val="32"/>
          <w:szCs w:val="32"/>
          <w:highlight w:val="none"/>
        </w:rPr>
      </w:pPr>
      <w:bookmarkStart w:id="23" w:name="_Toc10231"/>
      <w:r>
        <w:rPr>
          <w:rFonts w:hint="eastAsia" w:ascii="仿宋" w:hAnsi="仿宋" w:eastAsia="仿宋" w:cs="仿宋"/>
          <w:color w:val="auto"/>
          <w:sz w:val="32"/>
          <w:szCs w:val="32"/>
          <w:highlight w:val="none"/>
        </w:rPr>
        <w:t xml:space="preserve">第五章  </w:t>
      </w:r>
      <w:bookmarkEnd w:id="21"/>
      <w:bookmarkEnd w:id="22"/>
      <w:r>
        <w:rPr>
          <w:rFonts w:hint="eastAsia" w:ascii="仿宋" w:hAnsi="仿宋" w:eastAsia="仿宋" w:cs="仿宋"/>
          <w:color w:val="auto"/>
          <w:sz w:val="32"/>
          <w:szCs w:val="32"/>
          <w:highlight w:val="none"/>
        </w:rPr>
        <w:t>采购项目技术、服务、合同内容条款及其他商务要求</w:t>
      </w:r>
      <w:bookmarkEnd w:id="23"/>
    </w:p>
    <w:p w14:paraId="3A35B3AE">
      <w:pPr>
        <w:pStyle w:val="3"/>
        <w:keepLines/>
        <w:spacing w:before="240" w:beforeLines="100" w:line="360" w:lineRule="auto"/>
        <w:ind w:left="0" w:leftChars="0" w:firstLine="482" w:firstLineChars="200"/>
        <w:rPr>
          <w:rFonts w:ascii="仿宋" w:hAnsi="仿宋" w:eastAsia="仿宋" w:cs="仿宋"/>
          <w:bCs/>
          <w:color w:val="auto"/>
          <w:sz w:val="24"/>
          <w:szCs w:val="24"/>
          <w:highlight w:val="none"/>
        </w:rPr>
      </w:pPr>
      <w:bookmarkStart w:id="24" w:name="_Toc217446094"/>
      <w:bookmarkStart w:id="25" w:name="_Toc16029"/>
      <w:bookmarkStart w:id="26" w:name="_Toc11404"/>
      <w:bookmarkStart w:id="27" w:name="_Toc16534"/>
      <w:bookmarkStart w:id="28" w:name="_Toc7836"/>
      <w:bookmarkStart w:id="29" w:name="_Toc509380480"/>
      <w:bookmarkStart w:id="30" w:name="_Toc498593033"/>
      <w:bookmarkStart w:id="31" w:name="_Toc11831380"/>
      <w:bookmarkStart w:id="32" w:name="_Toc498593008"/>
      <w:bookmarkStart w:id="33" w:name="_Toc509380479"/>
      <w:bookmarkStart w:id="34" w:name="_Toc498593006"/>
      <w:bookmarkStart w:id="35" w:name="_Toc498593031"/>
      <w:r>
        <w:rPr>
          <w:rFonts w:hint="eastAsia" w:ascii="仿宋" w:hAnsi="仿宋" w:eastAsia="仿宋" w:cs="仿宋"/>
          <w:bCs/>
          <w:color w:val="auto"/>
          <w:sz w:val="24"/>
          <w:szCs w:val="24"/>
          <w:highlight w:val="none"/>
        </w:rPr>
        <w:t>一、项目概述</w:t>
      </w:r>
      <w:bookmarkEnd w:id="24"/>
    </w:p>
    <w:p w14:paraId="01DF4D5C">
      <w:pPr>
        <w:spacing w:line="360" w:lineRule="auto"/>
        <w:ind w:firstLine="472" w:firstLineChars="200"/>
        <w:jc w:val="left"/>
        <w:rPr>
          <w:rFonts w:ascii="仿宋" w:hAnsi="仿宋" w:eastAsia="仿宋"/>
          <w:color w:val="auto"/>
          <w:sz w:val="24"/>
          <w:highlight w:val="none"/>
        </w:rPr>
      </w:pPr>
      <w:r>
        <w:rPr>
          <w:rFonts w:hint="eastAsia" w:ascii="仿宋" w:hAnsi="仿宋" w:eastAsia="仿宋" w:cs="仿宋"/>
          <w:color w:val="auto"/>
          <w:spacing w:val="-2"/>
          <w:sz w:val="24"/>
          <w:highlight w:val="none"/>
        </w:rPr>
        <w:t>自贡市航空产业园产教融合实训基地位于S305与G348 交汇处北侧(贡井区电信职校原址)，项目占地面积约340 亩，总建筑面积172000</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rPr>
        <w:t>，地上建筑面积 165000</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rPr>
        <w:t>，地下建筑面积7000</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rPr>
        <w:t>;主要建设内容包括教学楼、学员公寓、实验实训楼、综合楼、图书馆、食堂等，同时配套建设相关附属设施。拟通过竞争性谈判采购方式确认一家成交供应商</w:t>
      </w:r>
      <w:r>
        <w:rPr>
          <w:rFonts w:hint="eastAsia" w:ascii="仿宋" w:hAnsi="仿宋" w:eastAsia="仿宋" w:cs="仿宋"/>
          <w:color w:val="auto"/>
          <w:spacing w:val="-2"/>
          <w:sz w:val="24"/>
          <w:highlight w:val="none"/>
          <w:lang w:eastAsia="zh-CN"/>
        </w:rPr>
        <w:t>实施“自贡市航空产业园产教融合实训基地项目社会稳定性评估报告编制服务项目”</w:t>
      </w:r>
      <w:r>
        <w:rPr>
          <w:rFonts w:hint="eastAsia" w:ascii="仿宋" w:hAnsi="仿宋" w:eastAsia="仿宋" w:cs="仿宋"/>
          <w:color w:val="auto"/>
          <w:spacing w:val="-2"/>
          <w:sz w:val="24"/>
          <w:highlight w:val="none"/>
        </w:rPr>
        <w:t>。</w:t>
      </w:r>
    </w:p>
    <w:p w14:paraId="6FB8DAC5">
      <w:pPr>
        <w:pStyle w:val="54"/>
        <w:widowControl/>
        <w:numPr>
          <w:ilvl w:val="0"/>
          <w:numId w:val="0"/>
        </w:numPr>
        <w:snapToGrid w:val="0"/>
        <w:spacing w:line="360" w:lineRule="auto"/>
        <w:ind w:firstLine="482" w:firstLineChars="200"/>
        <w:rPr>
          <w:rFonts w:hint="eastAsia" w:ascii="仿宋" w:hAnsi="仿宋" w:eastAsia="仿宋" w:cs="仿宋"/>
          <w:b/>
          <w:bCs/>
          <w:color w:val="auto"/>
          <w:sz w:val="24"/>
          <w:szCs w:val="24"/>
          <w:highlight w:val="none"/>
          <w:lang w:eastAsia="zh-CN"/>
        </w:rPr>
      </w:pPr>
    </w:p>
    <w:p w14:paraId="2D5B0EFA">
      <w:pPr>
        <w:pStyle w:val="54"/>
        <w:widowControl/>
        <w:numPr>
          <w:ilvl w:val="0"/>
          <w:numId w:val="0"/>
        </w:numPr>
        <w:snapToGrid w:val="0"/>
        <w:spacing w:line="360" w:lineRule="auto"/>
        <w:ind w:firstLine="482" w:firstLineChars="200"/>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★二、采购标的</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3653"/>
        <w:gridCol w:w="888"/>
        <w:gridCol w:w="691"/>
        <w:gridCol w:w="2632"/>
        <w:gridCol w:w="891"/>
      </w:tblGrid>
      <w:tr w14:paraId="63FB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02" w:type="pct"/>
            <w:noWrap w:val="0"/>
            <w:vAlign w:val="center"/>
          </w:tcPr>
          <w:p w14:paraId="02A610E1">
            <w:pPr>
              <w:pStyle w:val="54"/>
              <w:widowControl/>
              <w:numPr>
                <w:ilvl w:val="0"/>
                <w:numId w:val="0"/>
              </w:numPr>
              <w:snapToGrid w:val="0"/>
              <w:spacing w:line="240" w:lineRule="auto"/>
              <w:ind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标的号</w:t>
            </w:r>
          </w:p>
        </w:tc>
        <w:tc>
          <w:tcPr>
            <w:tcW w:w="1834" w:type="pct"/>
            <w:noWrap w:val="0"/>
            <w:vAlign w:val="center"/>
          </w:tcPr>
          <w:p w14:paraId="7F7BBE1C">
            <w:pPr>
              <w:pStyle w:val="54"/>
              <w:widowControl/>
              <w:numPr>
                <w:ilvl w:val="0"/>
                <w:numId w:val="0"/>
              </w:numPr>
              <w:snapToGrid w:val="0"/>
              <w:spacing w:line="240" w:lineRule="auto"/>
              <w:ind w:left="0" w:leftChars="0"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标的名称</w:t>
            </w:r>
          </w:p>
        </w:tc>
        <w:tc>
          <w:tcPr>
            <w:tcW w:w="446" w:type="pct"/>
            <w:noWrap w:val="0"/>
            <w:vAlign w:val="center"/>
          </w:tcPr>
          <w:p w14:paraId="6E2D624B">
            <w:pPr>
              <w:pStyle w:val="54"/>
              <w:widowControl/>
              <w:numPr>
                <w:ilvl w:val="0"/>
                <w:numId w:val="0"/>
              </w:numPr>
              <w:snapToGrid w:val="0"/>
              <w:spacing w:line="240" w:lineRule="auto"/>
              <w:ind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单位</w:t>
            </w:r>
          </w:p>
        </w:tc>
        <w:tc>
          <w:tcPr>
            <w:tcW w:w="347" w:type="pct"/>
            <w:noWrap w:val="0"/>
            <w:vAlign w:val="center"/>
          </w:tcPr>
          <w:p w14:paraId="7D3F8427">
            <w:pPr>
              <w:pStyle w:val="54"/>
              <w:widowControl/>
              <w:numPr>
                <w:ilvl w:val="0"/>
                <w:numId w:val="0"/>
              </w:numPr>
              <w:snapToGrid w:val="0"/>
              <w:spacing w:line="240" w:lineRule="auto"/>
              <w:ind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数量</w:t>
            </w:r>
          </w:p>
        </w:tc>
        <w:tc>
          <w:tcPr>
            <w:tcW w:w="1321" w:type="pct"/>
            <w:noWrap w:val="0"/>
            <w:vAlign w:val="center"/>
          </w:tcPr>
          <w:p w14:paraId="0090C007">
            <w:pPr>
              <w:pStyle w:val="54"/>
              <w:widowControl/>
              <w:numPr>
                <w:ilvl w:val="0"/>
                <w:numId w:val="0"/>
              </w:numPr>
              <w:snapToGrid w:val="0"/>
              <w:spacing w:line="240" w:lineRule="auto"/>
              <w:ind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rPr>
              <w:t>服务期限</w:t>
            </w:r>
          </w:p>
        </w:tc>
        <w:tc>
          <w:tcPr>
            <w:tcW w:w="447" w:type="pct"/>
            <w:noWrap w:val="0"/>
            <w:vAlign w:val="center"/>
          </w:tcPr>
          <w:p w14:paraId="72BF5E98">
            <w:pPr>
              <w:pStyle w:val="54"/>
              <w:widowControl/>
              <w:numPr>
                <w:ilvl w:val="0"/>
                <w:numId w:val="0"/>
              </w:numPr>
              <w:snapToGrid w:val="0"/>
              <w:spacing w:line="240" w:lineRule="auto"/>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备注</w:t>
            </w:r>
          </w:p>
        </w:tc>
      </w:tr>
      <w:tr w14:paraId="41C2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02" w:type="pct"/>
            <w:noWrap w:val="0"/>
            <w:vAlign w:val="center"/>
          </w:tcPr>
          <w:p w14:paraId="5F908B93">
            <w:pPr>
              <w:pStyle w:val="54"/>
              <w:widowControl/>
              <w:numPr>
                <w:ilvl w:val="0"/>
                <w:numId w:val="0"/>
              </w:numPr>
              <w:snapToGrid w:val="0"/>
              <w:spacing w:line="240" w:lineRule="auto"/>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pacing w:val="0"/>
                <w:sz w:val="24"/>
                <w:szCs w:val="24"/>
                <w:highlight w:val="none"/>
                <w:lang w:val="en-US" w:eastAsia="zh-CN"/>
              </w:rPr>
              <w:t>1</w:t>
            </w:r>
          </w:p>
        </w:tc>
        <w:tc>
          <w:tcPr>
            <w:tcW w:w="1834" w:type="pct"/>
            <w:noWrap w:val="0"/>
            <w:vAlign w:val="center"/>
          </w:tcPr>
          <w:p w14:paraId="4635F5D1">
            <w:pPr>
              <w:pStyle w:val="54"/>
              <w:widowControl/>
              <w:numPr>
                <w:ilvl w:val="0"/>
                <w:numId w:val="0"/>
              </w:numPr>
              <w:snapToGrid w:val="0"/>
              <w:spacing w:line="240" w:lineRule="auto"/>
              <w:ind w:left="0" w:leftChars="0" w:firstLine="0" w:firstLineChars="0"/>
              <w:jc w:val="center"/>
              <w:rPr>
                <w:rFonts w:hint="default" w:ascii="仿宋" w:hAnsi="仿宋" w:eastAsia="仿宋" w:cs="仿宋"/>
                <w:color w:val="auto"/>
                <w:spacing w:val="0"/>
                <w:sz w:val="24"/>
                <w:szCs w:val="24"/>
                <w:highlight w:val="none"/>
                <w:lang w:eastAsia="zh-CN"/>
              </w:rPr>
            </w:pPr>
            <w:r>
              <w:rPr>
                <w:rFonts w:hint="eastAsia" w:ascii="仿宋" w:hAnsi="仿宋" w:eastAsia="仿宋" w:cs="仿宋"/>
                <w:color w:val="auto"/>
                <w:spacing w:val="-2"/>
                <w:sz w:val="24"/>
                <w:highlight w:val="none"/>
                <w:lang w:val="en-US" w:eastAsia="zh-CN"/>
              </w:rPr>
              <w:t>自贡市航空产业园产教融合实训基地项目社会稳定性评估报告编制服务项目</w:t>
            </w:r>
          </w:p>
        </w:tc>
        <w:tc>
          <w:tcPr>
            <w:tcW w:w="446" w:type="pct"/>
            <w:noWrap w:val="0"/>
            <w:vAlign w:val="center"/>
          </w:tcPr>
          <w:p w14:paraId="1A4FE69E">
            <w:pPr>
              <w:pStyle w:val="54"/>
              <w:widowControl/>
              <w:numPr>
                <w:ilvl w:val="0"/>
                <w:numId w:val="0"/>
              </w:numPr>
              <w:snapToGrid w:val="0"/>
              <w:spacing w:line="24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w:t>
            </w:r>
          </w:p>
        </w:tc>
        <w:tc>
          <w:tcPr>
            <w:tcW w:w="347" w:type="pct"/>
            <w:noWrap w:val="0"/>
            <w:vAlign w:val="center"/>
          </w:tcPr>
          <w:p w14:paraId="56D5CB1F">
            <w:pPr>
              <w:pStyle w:val="54"/>
              <w:widowControl/>
              <w:numPr>
                <w:ilvl w:val="0"/>
                <w:numId w:val="0"/>
              </w:numPr>
              <w:snapToGrid w:val="0"/>
              <w:spacing w:line="24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321" w:type="pct"/>
            <w:noWrap w:val="0"/>
            <w:vAlign w:val="center"/>
          </w:tcPr>
          <w:p w14:paraId="6EFEB154">
            <w:pPr>
              <w:pStyle w:val="54"/>
              <w:widowControl/>
              <w:numPr>
                <w:ilvl w:val="0"/>
                <w:numId w:val="0"/>
              </w:numPr>
              <w:snapToGrid w:val="0"/>
              <w:spacing w:line="240" w:lineRule="auto"/>
              <w:jc w:val="center"/>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自合同签订之日</w:t>
            </w:r>
            <w:r>
              <w:rPr>
                <w:rFonts w:hint="eastAsia" w:ascii="仿宋" w:hAnsi="仿宋" w:eastAsia="仿宋" w:cs="仿宋"/>
                <w:b w:val="0"/>
                <w:bCs w:val="0"/>
                <w:color w:val="auto"/>
                <w:sz w:val="24"/>
                <w:szCs w:val="24"/>
                <w:highlight w:val="none"/>
                <w:vertAlign w:val="baseline"/>
                <w:lang w:val="en-US" w:eastAsia="zh-CN"/>
              </w:rPr>
              <w:t>30日</w:t>
            </w:r>
          </w:p>
        </w:tc>
        <w:tc>
          <w:tcPr>
            <w:tcW w:w="447" w:type="pct"/>
            <w:noWrap w:val="0"/>
            <w:vAlign w:val="center"/>
          </w:tcPr>
          <w:p w14:paraId="279892D5">
            <w:pPr>
              <w:pStyle w:val="54"/>
              <w:widowControl/>
              <w:numPr>
                <w:ilvl w:val="0"/>
                <w:numId w:val="0"/>
              </w:numPr>
              <w:snapToGrid w:val="0"/>
              <w:spacing w:line="240" w:lineRule="auto"/>
              <w:jc w:val="center"/>
              <w:rPr>
                <w:rFonts w:hint="default" w:ascii="仿宋" w:hAnsi="仿宋" w:eastAsia="仿宋" w:cs="仿宋"/>
                <w:b w:val="0"/>
                <w:bCs w:val="0"/>
                <w:color w:val="auto"/>
                <w:sz w:val="24"/>
                <w:szCs w:val="24"/>
                <w:highlight w:val="none"/>
                <w:vertAlign w:val="baseline"/>
                <w:lang w:eastAsia="zh-CN"/>
              </w:rPr>
            </w:pPr>
          </w:p>
        </w:tc>
      </w:tr>
    </w:tbl>
    <w:p w14:paraId="4222B384">
      <w:pPr>
        <w:pStyle w:val="54"/>
        <w:widowControl/>
        <w:numPr>
          <w:ilvl w:val="0"/>
          <w:numId w:val="0"/>
        </w:numPr>
        <w:snapToGrid w:val="0"/>
        <w:spacing w:before="157" w:beforeLines="50" w:line="360" w:lineRule="auto"/>
        <w:ind w:firstLine="482"/>
        <w:rPr>
          <w:rFonts w:hint="eastAsia" w:ascii="仿宋" w:hAnsi="仿宋" w:eastAsia="仿宋" w:cs="仿宋"/>
          <w:b/>
          <w:bCs/>
          <w:color w:val="auto"/>
          <w:sz w:val="24"/>
          <w:szCs w:val="24"/>
          <w:highlight w:val="none"/>
          <w:lang w:eastAsia="zh-CN"/>
        </w:rPr>
      </w:pPr>
    </w:p>
    <w:p w14:paraId="70A175FB">
      <w:pPr>
        <w:pStyle w:val="54"/>
        <w:keepNext w:val="0"/>
        <w:keepLines w:val="0"/>
        <w:pageBreakBefore w:val="0"/>
        <w:widowControl/>
        <w:numPr>
          <w:ilvl w:val="0"/>
          <w:numId w:val="0"/>
        </w:numPr>
        <w:kinsoku/>
        <w:wordWrap/>
        <w:overflowPunct/>
        <w:topLinePunct w:val="0"/>
        <w:autoSpaceDE/>
        <w:autoSpaceDN/>
        <w:bidi w:val="0"/>
        <w:adjustRightInd/>
        <w:snapToGrid w:val="0"/>
        <w:spacing w:before="0" w:line="360" w:lineRule="auto"/>
        <w:ind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★三、服务内容及要求</w:t>
      </w:r>
    </w:p>
    <w:p w14:paraId="6F10CBFF">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1、风险调查：</w:t>
      </w:r>
    </w:p>
    <w:p w14:paraId="1175D0DF">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（1）通过实地走访、问卷调查、座谈会等形式，收集利益相关方（周边居民、企事业单位、基层政府等）意见。</w:t>
      </w:r>
    </w:p>
    <w:p w14:paraId="24EFEE2D">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（2）重点识别土地征用、施工噪声、环境影响、交通疏导等可能引发的社会矛盾。</w:t>
      </w:r>
    </w:p>
    <w:p w14:paraId="49B6C362">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2、风险分析：</w:t>
      </w:r>
    </w:p>
    <w:p w14:paraId="64D2976F">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（1）对项目合法性、合理性、可行性、可控性进行综合评估。</w:t>
      </w:r>
    </w:p>
    <w:p w14:paraId="1C7FF9EF">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（2）分析风险点（如征地补偿、施工扰民、就业安置等）的发生概率和影响程度。</w:t>
      </w:r>
    </w:p>
    <w:p w14:paraId="1BE39D64">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3、报告编制：</w:t>
      </w:r>
    </w:p>
    <w:p w14:paraId="07559264">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（1）编制《社会稳定风险分析报告》及《风险评估报告》（如需），提出风险防范和化解措施。</w:t>
      </w:r>
    </w:p>
    <w:p w14:paraId="03242F46">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（2）明确风险等级建议（低风险/中风险/高风险）。</w:t>
      </w:r>
    </w:p>
    <w:p w14:paraId="210CEED7">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4、评审与报备：</w:t>
      </w:r>
    </w:p>
    <w:p w14:paraId="3BF7F663">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（1）协助通过项目所在地政府或主管部门组织的评审。</w:t>
      </w:r>
    </w:p>
    <w:p w14:paraId="118A8C7F">
      <w:pPr>
        <w:spacing w:line="360"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（2）取得社会稳定风险评估备案意见或批复文件。</w:t>
      </w:r>
    </w:p>
    <w:p w14:paraId="747A50D6">
      <w:pPr>
        <w:spacing w:line="360" w:lineRule="auto"/>
        <w:ind w:firstLine="482" w:firstLineChars="200"/>
        <w:outlineLvl w:val="9"/>
        <w:rPr>
          <w:rFonts w:hint="eastAsia" w:ascii="仿宋" w:hAnsi="仿宋" w:eastAsia="仿宋" w:cs="仿宋"/>
          <w:b/>
          <w:bCs/>
          <w:color w:val="auto"/>
          <w:sz w:val="24"/>
          <w:szCs w:val="24"/>
          <w:highlight w:val="none"/>
        </w:rPr>
      </w:pPr>
    </w:p>
    <w:p w14:paraId="3895BEA5">
      <w:pPr>
        <w:spacing w:line="360" w:lineRule="auto"/>
        <w:ind w:firstLine="482" w:firstLineChars="200"/>
        <w:outlineLvl w:val="1"/>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、商务要求</w:t>
      </w:r>
    </w:p>
    <w:bookmarkEnd w:id="25"/>
    <w:bookmarkEnd w:id="26"/>
    <w:bookmarkEnd w:id="27"/>
    <w:bookmarkEnd w:id="28"/>
    <w:p w14:paraId="76F048D2">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合同签订：自成交通知书发出之日起</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日内签订合同。</w:t>
      </w:r>
    </w:p>
    <w:p w14:paraId="77798EF4">
      <w:pPr>
        <w:spacing w:line="360" w:lineRule="auto"/>
        <w:ind w:firstLine="480"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服务期限：</w:t>
      </w:r>
      <w:r>
        <w:rPr>
          <w:rFonts w:hint="default" w:ascii="仿宋" w:hAnsi="仿宋" w:eastAsia="仿宋" w:cs="仿宋"/>
          <w:b w:val="0"/>
          <w:bCs w:val="0"/>
          <w:color w:val="auto"/>
          <w:sz w:val="24"/>
          <w:szCs w:val="24"/>
          <w:highlight w:val="none"/>
          <w:vertAlign w:val="baseline"/>
          <w:lang w:val="en-US" w:eastAsia="zh-CN"/>
        </w:rPr>
        <w:t>自合同签订之日</w:t>
      </w:r>
      <w:r>
        <w:rPr>
          <w:rFonts w:hint="eastAsia" w:ascii="仿宋" w:hAnsi="仿宋" w:eastAsia="仿宋" w:cs="仿宋"/>
          <w:b w:val="0"/>
          <w:bCs w:val="0"/>
          <w:color w:val="auto"/>
          <w:sz w:val="24"/>
          <w:szCs w:val="24"/>
          <w:highlight w:val="none"/>
          <w:vertAlign w:val="baseline"/>
          <w:lang w:val="en-US" w:eastAsia="zh-CN"/>
        </w:rPr>
        <w:t>30日</w:t>
      </w:r>
      <w:r>
        <w:rPr>
          <w:rFonts w:hint="eastAsia" w:ascii="仿宋" w:hAnsi="仿宋" w:eastAsia="仿宋" w:cs="仿宋"/>
          <w:bCs/>
          <w:color w:val="auto"/>
          <w:sz w:val="24"/>
          <w:szCs w:val="24"/>
          <w:highlight w:val="none"/>
        </w:rPr>
        <w:t>。</w:t>
      </w:r>
    </w:p>
    <w:p w14:paraId="072A8DFC">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3、服务地点：采购人指定地点。</w:t>
      </w:r>
    </w:p>
    <w:p w14:paraId="75BE0ABF">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4、报价方式：采用固定总价的定价方式，供应商报价是供应商响应采购项目要求的全部工作内容的价格体现。采购人不再另行向成交供应商支付任何费用。</w:t>
      </w:r>
    </w:p>
    <w:p w14:paraId="6C6B0AA7">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5、付款方式：本项目服务完成并取得成果资料后30日内一次性付清。</w:t>
      </w:r>
    </w:p>
    <w:p w14:paraId="01A7402A">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6、验收方法和标准：</w:t>
      </w:r>
    </w:p>
    <w:p w14:paraId="29C7C7A3">
      <w:pPr>
        <w:numPr>
          <w:ilvl w:val="0"/>
          <w:numId w:val="0"/>
        </w:numPr>
        <w:spacing w:line="360" w:lineRule="auto"/>
        <w:ind w:leftChars="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按照国家相关规定、谈判文件的服务质量要求、成交的响应文件及承诺以及合同约定标准进行验收。</w:t>
      </w:r>
    </w:p>
    <w:p w14:paraId="5684F3E9">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7、安全要求</w:t>
      </w:r>
      <w:r>
        <w:rPr>
          <w:rFonts w:hint="eastAsia" w:ascii="仿宋" w:hAnsi="仿宋" w:eastAsia="仿宋" w:cs="仿宋"/>
          <w:bCs/>
          <w:color w:val="auto"/>
          <w:sz w:val="24"/>
          <w:szCs w:val="24"/>
          <w:highlight w:val="none"/>
          <w:lang w:val="en-US" w:eastAsia="zh-CN"/>
        </w:rPr>
        <w:t>：本项目自供应商成交之日起至项目最终验收合格日止，自行负责项目实施过程中的一切安全责任。造成的一切直接和间接损失，均由成交供应商自行承担。</w:t>
      </w:r>
    </w:p>
    <w:p w14:paraId="1EF08C19">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8、其他事宜：其他未尽事宜由采购人与成交供应商双方在采购合同中详细约定。</w:t>
      </w:r>
    </w:p>
    <w:p w14:paraId="53FC99A6">
      <w:pPr>
        <w:spacing w:line="360" w:lineRule="auto"/>
        <w:ind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说明：本章中标注“★”号的条款为实质性要求，在谈判结束后应全部满足，否则其响应文件按无效处理。</w:t>
      </w:r>
    </w:p>
    <w:p w14:paraId="6C0E1DCF">
      <w:pPr>
        <w:pStyle w:val="9"/>
        <w:numPr>
          <w:ilvl w:val="0"/>
          <w:numId w:val="0"/>
        </w:numPr>
        <w:ind w:firstLine="63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br w:type="page"/>
      </w:r>
    </w:p>
    <w:bookmarkEnd w:id="29"/>
    <w:bookmarkEnd w:id="30"/>
    <w:bookmarkEnd w:id="31"/>
    <w:bookmarkEnd w:id="32"/>
    <w:p w14:paraId="1C4235E9">
      <w:pPr>
        <w:pStyle w:val="2"/>
        <w:spacing w:line="240" w:lineRule="auto"/>
        <w:jc w:val="center"/>
        <w:rPr>
          <w:rFonts w:hint="eastAsia" w:ascii="仿宋" w:hAnsi="仿宋" w:eastAsia="仿宋" w:cs="仿宋"/>
          <w:color w:val="auto"/>
          <w:sz w:val="32"/>
          <w:szCs w:val="32"/>
          <w:highlight w:val="none"/>
        </w:rPr>
      </w:pPr>
      <w:bookmarkStart w:id="36" w:name="_Toc74844144"/>
      <w:bookmarkStart w:id="37" w:name="_Toc71717162"/>
      <w:bookmarkStart w:id="38" w:name="_Toc31105"/>
      <w:r>
        <w:rPr>
          <w:rFonts w:hint="eastAsia" w:ascii="仿宋" w:hAnsi="仿宋" w:eastAsia="仿宋" w:cs="仿宋"/>
          <w:color w:val="auto"/>
          <w:sz w:val="32"/>
          <w:szCs w:val="32"/>
          <w:highlight w:val="none"/>
        </w:rPr>
        <w:t>第六章  谈判内容、谈判过程中可</w:t>
      </w:r>
      <w:r>
        <w:rPr>
          <w:rFonts w:hint="eastAsia" w:ascii="仿宋" w:hAnsi="仿宋" w:eastAsia="仿宋" w:cs="仿宋"/>
          <w:color w:val="auto"/>
          <w:sz w:val="32"/>
          <w:szCs w:val="32"/>
          <w:highlight w:val="none"/>
          <w:lang w:eastAsia="zh-CN"/>
        </w:rPr>
        <w:t>能</w:t>
      </w:r>
      <w:r>
        <w:rPr>
          <w:rFonts w:hint="eastAsia" w:ascii="仿宋" w:hAnsi="仿宋" w:eastAsia="仿宋" w:cs="仿宋"/>
          <w:color w:val="auto"/>
          <w:sz w:val="32"/>
          <w:szCs w:val="32"/>
          <w:highlight w:val="none"/>
        </w:rPr>
        <w:t>实质性变动的内容</w:t>
      </w:r>
      <w:bookmarkEnd w:id="36"/>
      <w:bookmarkEnd w:id="37"/>
      <w:bookmarkEnd w:id="38"/>
    </w:p>
    <w:p w14:paraId="4AA5CA47">
      <w:pPr>
        <w:pStyle w:val="9"/>
        <w:numPr>
          <w:ilvl w:val="0"/>
          <w:numId w:val="19"/>
        </w:numPr>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在谈判过程中，谈判小组根据项目实际需要制定谈判内容，在获得采购人代表确认的前提下，可以根据谈判情况实质性变动第五章中标注“★”号的条款以及第</w:t>
      </w:r>
      <w:r>
        <w:rPr>
          <w:rFonts w:hint="eastAsia" w:ascii="仿宋" w:hAnsi="仿宋" w:eastAsia="仿宋" w:cs="仿宋"/>
          <w:color w:val="auto"/>
          <w:sz w:val="21"/>
          <w:highlight w:val="none"/>
          <w:lang w:eastAsia="zh-CN"/>
        </w:rPr>
        <w:t>九</w:t>
      </w:r>
      <w:r>
        <w:rPr>
          <w:rFonts w:hint="eastAsia" w:ascii="仿宋" w:hAnsi="仿宋" w:eastAsia="仿宋" w:cs="仿宋"/>
          <w:color w:val="auto"/>
          <w:sz w:val="21"/>
          <w:highlight w:val="none"/>
        </w:rPr>
        <w:t>章合同草案条款。</w:t>
      </w:r>
    </w:p>
    <w:p w14:paraId="2632428F">
      <w:pPr>
        <w:pStyle w:val="9"/>
        <w:numPr>
          <w:ilvl w:val="0"/>
          <w:numId w:val="19"/>
        </w:numPr>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谈判小组对谈判文件作出的实质性变动是谈判文件的有效组成部分，谈判小组应及时以书面形式通知所有参加谈判的供应商。</w:t>
      </w:r>
    </w:p>
    <w:p w14:paraId="3D67D57F">
      <w:pPr>
        <w:pStyle w:val="9"/>
        <w:numPr>
          <w:ilvl w:val="0"/>
          <w:numId w:val="19"/>
        </w:numPr>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项目清单不属于谈判过程中可以实质性变动的内容。</w:t>
      </w:r>
    </w:p>
    <w:p w14:paraId="7EBE1281">
      <w:pPr>
        <w:rPr>
          <w:rFonts w:hint="eastAsia" w:ascii="仿宋" w:hAnsi="仿宋" w:eastAsia="仿宋" w:cs="仿宋"/>
          <w:color w:val="auto"/>
          <w:sz w:val="32"/>
          <w:szCs w:val="32"/>
          <w:highlight w:val="none"/>
        </w:rPr>
      </w:pPr>
      <w:bookmarkStart w:id="39" w:name="_Toc28166"/>
      <w:bookmarkStart w:id="40" w:name="_Toc74844145"/>
      <w:r>
        <w:rPr>
          <w:rFonts w:hint="eastAsia" w:ascii="仿宋" w:hAnsi="仿宋" w:eastAsia="仿宋" w:cs="仿宋"/>
          <w:color w:val="auto"/>
          <w:sz w:val="32"/>
          <w:szCs w:val="32"/>
          <w:highlight w:val="none"/>
        </w:rPr>
        <w:br w:type="page"/>
      </w:r>
    </w:p>
    <w:p w14:paraId="3ECF2904">
      <w:pPr>
        <w:pStyle w:val="2"/>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第七章  响应文件格式</w:t>
      </w:r>
      <w:bookmarkEnd w:id="39"/>
      <w:bookmarkEnd w:id="40"/>
    </w:p>
    <w:p w14:paraId="1044ACEB">
      <w:pPr>
        <w:pStyle w:val="54"/>
        <w:widowControl/>
        <w:numPr>
          <w:ilvl w:val="0"/>
          <w:numId w:val="0"/>
        </w:numPr>
        <w:spacing w:line="400" w:lineRule="exact"/>
        <w:ind w:firstLine="422" w:firstLineChars="200"/>
        <w:jc w:val="left"/>
        <w:rPr>
          <w:rFonts w:hint="eastAsia" w:ascii="仿宋" w:hAnsi="仿宋" w:eastAsia="仿宋" w:cs="仿宋"/>
          <w:b w:val="0"/>
          <w:bCs w:val="0"/>
          <w:color w:val="auto"/>
          <w:szCs w:val="21"/>
          <w:highlight w:val="none"/>
        </w:rPr>
      </w:pPr>
      <w:r>
        <w:rPr>
          <w:rFonts w:hint="eastAsia" w:ascii="仿宋" w:hAnsi="仿宋" w:eastAsia="仿宋" w:cs="仿宋"/>
          <w:b/>
          <w:bCs w:val="0"/>
          <w:color w:val="auto"/>
          <w:kern w:val="2"/>
          <w:sz w:val="21"/>
          <w:szCs w:val="21"/>
          <w:highlight w:val="none"/>
          <w:lang w:val="en-US" w:eastAsia="zh-CN" w:bidi="ar-SA"/>
        </w:rPr>
        <w:t>1.</w:t>
      </w:r>
      <w:r>
        <w:rPr>
          <w:rFonts w:hint="eastAsia" w:ascii="仿宋" w:hAnsi="仿宋" w:eastAsia="仿宋" w:cs="仿宋"/>
          <w:b w:val="0"/>
          <w:bCs w:val="0"/>
          <w:color w:val="auto"/>
          <w:szCs w:val="21"/>
          <w:highlight w:val="none"/>
        </w:rPr>
        <w:t>本章所制</w:t>
      </w:r>
      <w:r>
        <w:rPr>
          <w:rFonts w:hint="eastAsia" w:ascii="仿宋" w:hAnsi="仿宋" w:eastAsia="仿宋" w:cs="仿宋"/>
          <w:b w:val="0"/>
          <w:bCs w:val="0"/>
          <w:color w:val="auto"/>
          <w:szCs w:val="21"/>
          <w:highlight w:val="none"/>
          <w:lang w:eastAsia="zh-CN"/>
        </w:rPr>
        <w:t>响应</w:t>
      </w:r>
      <w:r>
        <w:rPr>
          <w:rFonts w:hint="eastAsia" w:ascii="仿宋" w:hAnsi="仿宋" w:eastAsia="仿宋" w:cs="仿宋"/>
          <w:b w:val="0"/>
          <w:bCs w:val="0"/>
          <w:color w:val="auto"/>
          <w:szCs w:val="21"/>
          <w:highlight w:val="none"/>
        </w:rPr>
        <w:t>文件格式，除格式中明确将该格式作为实质性要求的，一律不具有强制性，但是，供应商响应文件相关资料和本章所制格式不一致的，需涵盖所有要求内容，未按要求提供导致响应文件被认定为无效响应文件，后果由供应商自行承担。</w:t>
      </w:r>
    </w:p>
    <w:p w14:paraId="3FB10118">
      <w:pPr>
        <w:pStyle w:val="54"/>
        <w:widowControl/>
        <w:numPr>
          <w:ilvl w:val="0"/>
          <w:numId w:val="0"/>
        </w:numPr>
        <w:spacing w:line="400" w:lineRule="exact"/>
        <w:ind w:left="425" w:leftChars="0" w:firstLine="0" w:firstLineChars="0"/>
        <w:jc w:val="left"/>
        <w:rPr>
          <w:rFonts w:hint="eastAsia" w:ascii="仿宋" w:hAnsi="仿宋" w:eastAsia="仿宋" w:cs="仿宋"/>
          <w:b w:val="0"/>
          <w:bCs w:val="0"/>
          <w:color w:val="auto"/>
          <w:szCs w:val="21"/>
          <w:highlight w:val="none"/>
        </w:rPr>
      </w:pPr>
      <w:r>
        <w:rPr>
          <w:rFonts w:hint="eastAsia" w:ascii="仿宋" w:hAnsi="仿宋" w:eastAsia="仿宋" w:cs="仿宋"/>
          <w:b/>
          <w:bCs w:val="0"/>
          <w:color w:val="auto"/>
          <w:kern w:val="2"/>
          <w:sz w:val="21"/>
          <w:szCs w:val="21"/>
          <w:highlight w:val="none"/>
          <w:lang w:val="en-US" w:eastAsia="zh-CN" w:bidi="ar-SA"/>
        </w:rPr>
        <w:t>2.</w:t>
      </w:r>
      <w:r>
        <w:rPr>
          <w:rFonts w:hint="eastAsia" w:ascii="仿宋" w:hAnsi="仿宋" w:eastAsia="仿宋" w:cs="仿宋"/>
          <w:b w:val="0"/>
          <w:bCs w:val="0"/>
          <w:color w:val="auto"/>
          <w:szCs w:val="21"/>
          <w:highlight w:val="none"/>
        </w:rPr>
        <w:t>本章所制响应文件格式有关表格中的备注栏，由供应商根据自身情况作解释性说明，不作为必填项。</w:t>
      </w:r>
    </w:p>
    <w:p w14:paraId="6ECFCD30">
      <w:pPr>
        <w:pStyle w:val="54"/>
        <w:widowControl/>
        <w:numPr>
          <w:ilvl w:val="0"/>
          <w:numId w:val="0"/>
        </w:numPr>
        <w:spacing w:line="400" w:lineRule="exact"/>
        <w:ind w:left="425" w:leftChars="0" w:firstLine="0" w:firstLineChars="0"/>
        <w:jc w:val="left"/>
        <w:rPr>
          <w:rFonts w:hint="eastAsia" w:ascii="仿宋" w:hAnsi="仿宋" w:eastAsia="仿宋" w:cs="仿宋"/>
          <w:b w:val="0"/>
          <w:bCs w:val="0"/>
          <w:color w:val="auto"/>
          <w:szCs w:val="21"/>
          <w:highlight w:val="none"/>
        </w:rPr>
      </w:pPr>
      <w:r>
        <w:rPr>
          <w:rFonts w:hint="eastAsia" w:ascii="仿宋" w:hAnsi="仿宋" w:eastAsia="仿宋" w:cs="仿宋"/>
          <w:b/>
          <w:bCs w:val="0"/>
          <w:color w:val="auto"/>
          <w:kern w:val="2"/>
          <w:sz w:val="21"/>
          <w:szCs w:val="21"/>
          <w:highlight w:val="none"/>
          <w:lang w:val="en-US" w:eastAsia="zh-CN" w:bidi="ar-SA"/>
        </w:rPr>
        <w:t>3.</w:t>
      </w:r>
      <w:r>
        <w:rPr>
          <w:rFonts w:hint="eastAsia" w:ascii="仿宋" w:hAnsi="仿宋" w:eastAsia="仿宋" w:cs="仿宋"/>
          <w:b w:val="0"/>
          <w:bCs w:val="0"/>
          <w:color w:val="auto"/>
          <w:szCs w:val="21"/>
          <w:highlight w:val="none"/>
        </w:rPr>
        <w:t>未提供具体格式的由供应商自拟。</w:t>
      </w:r>
    </w:p>
    <w:p w14:paraId="336CFCFD">
      <w:pPr>
        <w:rPr>
          <w:rFonts w:hint="eastAsia" w:ascii="仿宋" w:hAnsi="仿宋" w:eastAsia="仿宋" w:cs="仿宋"/>
          <w:b/>
          <w:color w:val="auto"/>
          <w:szCs w:val="21"/>
          <w:highlight w:val="none"/>
        </w:rPr>
      </w:pPr>
      <w:bookmarkStart w:id="41" w:name="_Toc11831381"/>
      <w:r>
        <w:rPr>
          <w:rFonts w:hint="eastAsia" w:ascii="仿宋" w:hAnsi="仿宋" w:eastAsia="仿宋" w:cs="仿宋"/>
          <w:b/>
          <w:color w:val="auto"/>
          <w:szCs w:val="21"/>
          <w:highlight w:val="none"/>
        </w:rPr>
        <w:br w:type="page"/>
      </w:r>
    </w:p>
    <w:p w14:paraId="0DC7624A">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格式1：响应文件封面</w:t>
      </w:r>
    </w:p>
    <w:p w14:paraId="67DD24CD">
      <w:pPr>
        <w:widowControl/>
        <w:spacing w:line="400" w:lineRule="exact"/>
        <w:jc w:val="center"/>
        <w:rPr>
          <w:rFonts w:hint="eastAsia" w:ascii="仿宋" w:hAnsi="仿宋" w:eastAsia="仿宋" w:cs="仿宋"/>
          <w:color w:val="auto"/>
          <w:szCs w:val="21"/>
          <w:highlight w:val="none"/>
        </w:rPr>
      </w:pPr>
    </w:p>
    <w:p w14:paraId="481DA39C">
      <w:pPr>
        <w:pStyle w:val="9"/>
        <w:jc w:val="center"/>
        <w:rPr>
          <w:rFonts w:hint="eastAsia" w:ascii="仿宋" w:hAnsi="仿宋" w:eastAsia="仿宋" w:cs="仿宋"/>
          <w:color w:val="auto"/>
          <w:szCs w:val="21"/>
          <w:highlight w:val="none"/>
        </w:rPr>
      </w:pPr>
    </w:p>
    <w:p w14:paraId="1E7C5072">
      <w:pPr>
        <w:jc w:val="center"/>
        <w:rPr>
          <w:rFonts w:hint="eastAsia" w:ascii="仿宋" w:hAnsi="仿宋" w:eastAsia="仿宋" w:cs="仿宋"/>
          <w:color w:val="auto"/>
          <w:szCs w:val="21"/>
          <w:highlight w:val="none"/>
        </w:rPr>
      </w:pPr>
    </w:p>
    <w:p w14:paraId="7FC4963D">
      <w:pPr>
        <w:pStyle w:val="9"/>
        <w:jc w:val="center"/>
        <w:rPr>
          <w:rFonts w:hint="eastAsia"/>
          <w:color w:val="auto"/>
          <w:highlight w:val="none"/>
        </w:rPr>
      </w:pPr>
    </w:p>
    <w:p w14:paraId="54378E1B">
      <w:pPr>
        <w:widowControl/>
        <w:spacing w:line="400" w:lineRule="exact"/>
        <w:jc w:val="center"/>
        <w:rPr>
          <w:rFonts w:hint="eastAsia" w:ascii="仿宋" w:hAnsi="仿宋" w:eastAsia="仿宋" w:cs="仿宋"/>
          <w:color w:val="auto"/>
          <w:szCs w:val="21"/>
          <w:highlight w:val="none"/>
        </w:rPr>
      </w:pPr>
    </w:p>
    <w:p w14:paraId="04AFA4AF">
      <w:pPr>
        <w:pStyle w:val="9"/>
        <w:jc w:val="center"/>
        <w:rPr>
          <w:rFonts w:hint="eastAsia" w:ascii="仿宋" w:hAnsi="仿宋" w:eastAsia="仿宋" w:cs="仿宋"/>
          <w:color w:val="auto"/>
          <w:szCs w:val="21"/>
          <w:highlight w:val="none"/>
        </w:rPr>
      </w:pPr>
    </w:p>
    <w:p w14:paraId="2498024D">
      <w:pPr>
        <w:jc w:val="center"/>
        <w:rPr>
          <w:rFonts w:hint="eastAsia" w:ascii="仿宋" w:hAnsi="仿宋" w:eastAsia="仿宋" w:cs="仿宋"/>
          <w:color w:val="auto"/>
          <w:szCs w:val="21"/>
          <w:highlight w:val="none"/>
        </w:rPr>
      </w:pPr>
    </w:p>
    <w:p w14:paraId="2B341BF2">
      <w:pPr>
        <w:pStyle w:val="9"/>
        <w:jc w:val="center"/>
        <w:rPr>
          <w:rFonts w:hint="eastAsia"/>
          <w:color w:val="auto"/>
          <w:highlight w:val="none"/>
        </w:rPr>
      </w:pPr>
    </w:p>
    <w:p w14:paraId="1B3E5BEA">
      <w:pPr>
        <w:widowControl/>
        <w:spacing w:line="24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响应文件</w:t>
      </w:r>
    </w:p>
    <w:p w14:paraId="2783FF0D">
      <w:pPr>
        <w:pStyle w:val="9"/>
        <w:jc w:val="center"/>
        <w:rPr>
          <w:rFonts w:hint="eastAsia" w:eastAsia="仿宋"/>
          <w:color w:val="auto"/>
          <w:sz w:val="6"/>
          <w:szCs w:val="13"/>
          <w:highlight w:val="none"/>
          <w:lang w:eastAsia="zh-CN"/>
        </w:rPr>
      </w:pPr>
      <w:r>
        <w:rPr>
          <w:rFonts w:hint="eastAsia" w:ascii="仿宋" w:hAnsi="仿宋" w:eastAsia="仿宋" w:cs="仿宋"/>
          <w:color w:val="auto"/>
          <w:sz w:val="24"/>
          <w:szCs w:val="24"/>
          <w:highlight w:val="none"/>
          <w:lang w:eastAsia="zh-CN"/>
        </w:rPr>
        <w:t>（资格性响应文件</w:t>
      </w:r>
      <w:r>
        <w:rPr>
          <w:rFonts w:hint="eastAsia" w:ascii="仿宋" w:hAnsi="仿宋" w:eastAsia="仿宋" w:cs="仿宋"/>
          <w:color w:val="auto"/>
          <w:sz w:val="24"/>
          <w:szCs w:val="24"/>
          <w:highlight w:val="none"/>
          <w:lang w:val="en-US" w:eastAsia="zh-CN"/>
        </w:rPr>
        <w:t>/其他响应文件</w:t>
      </w:r>
      <w:r>
        <w:rPr>
          <w:rFonts w:hint="eastAsia" w:ascii="仿宋" w:hAnsi="仿宋" w:eastAsia="仿宋" w:cs="仿宋"/>
          <w:color w:val="auto"/>
          <w:sz w:val="24"/>
          <w:szCs w:val="24"/>
          <w:highlight w:val="none"/>
          <w:lang w:eastAsia="zh-CN"/>
        </w:rPr>
        <w:t>）</w:t>
      </w:r>
    </w:p>
    <w:p w14:paraId="09A747F8">
      <w:pPr>
        <w:widowControl/>
        <w:spacing w:line="400" w:lineRule="exact"/>
        <w:jc w:val="center"/>
        <w:rPr>
          <w:rFonts w:hint="eastAsia" w:ascii="仿宋" w:hAnsi="仿宋" w:eastAsia="仿宋" w:cs="仿宋"/>
          <w:color w:val="auto"/>
          <w:szCs w:val="21"/>
          <w:highlight w:val="none"/>
        </w:rPr>
      </w:pPr>
    </w:p>
    <w:p w14:paraId="69EEB6AA">
      <w:pPr>
        <w:pStyle w:val="9"/>
        <w:jc w:val="center"/>
        <w:rPr>
          <w:rFonts w:hint="eastAsia" w:ascii="仿宋" w:hAnsi="仿宋" w:eastAsia="仿宋" w:cs="仿宋"/>
          <w:color w:val="auto"/>
          <w:szCs w:val="21"/>
          <w:highlight w:val="none"/>
        </w:rPr>
      </w:pPr>
    </w:p>
    <w:p w14:paraId="2FFE2C12">
      <w:pPr>
        <w:jc w:val="center"/>
        <w:rPr>
          <w:rFonts w:hint="eastAsia" w:ascii="仿宋" w:hAnsi="仿宋" w:eastAsia="仿宋" w:cs="仿宋"/>
          <w:color w:val="auto"/>
          <w:szCs w:val="21"/>
          <w:highlight w:val="none"/>
        </w:rPr>
      </w:pPr>
    </w:p>
    <w:p w14:paraId="0CB16046">
      <w:pPr>
        <w:pStyle w:val="9"/>
        <w:jc w:val="center"/>
        <w:rPr>
          <w:rFonts w:hint="eastAsia"/>
          <w:color w:val="auto"/>
          <w:highlight w:val="none"/>
        </w:rPr>
      </w:pPr>
    </w:p>
    <w:p w14:paraId="3BA74F2A">
      <w:pPr>
        <w:widowControl/>
        <w:spacing w:line="400" w:lineRule="exact"/>
        <w:jc w:val="center"/>
        <w:rPr>
          <w:rFonts w:hint="eastAsia" w:ascii="仿宋" w:hAnsi="仿宋" w:eastAsia="仿宋" w:cs="仿宋"/>
          <w:color w:val="auto"/>
          <w:szCs w:val="21"/>
          <w:highlight w:val="none"/>
        </w:rPr>
      </w:pPr>
    </w:p>
    <w:p w14:paraId="36B81134">
      <w:pPr>
        <w:pStyle w:val="9"/>
        <w:jc w:val="center"/>
        <w:rPr>
          <w:rFonts w:hint="eastAsia" w:ascii="仿宋" w:hAnsi="仿宋" w:eastAsia="仿宋" w:cs="仿宋"/>
          <w:color w:val="auto"/>
          <w:szCs w:val="21"/>
          <w:highlight w:val="none"/>
        </w:rPr>
      </w:pPr>
    </w:p>
    <w:p w14:paraId="427B4914">
      <w:pPr>
        <w:jc w:val="center"/>
        <w:rPr>
          <w:rFonts w:hint="eastAsia" w:ascii="仿宋" w:hAnsi="仿宋" w:eastAsia="仿宋" w:cs="仿宋"/>
          <w:color w:val="auto"/>
          <w:szCs w:val="21"/>
          <w:highlight w:val="none"/>
        </w:rPr>
      </w:pPr>
    </w:p>
    <w:p w14:paraId="31D5211E">
      <w:pPr>
        <w:pStyle w:val="9"/>
        <w:jc w:val="center"/>
        <w:rPr>
          <w:rFonts w:hint="eastAsia"/>
          <w:color w:val="auto"/>
          <w:highlight w:val="none"/>
        </w:rPr>
      </w:pPr>
    </w:p>
    <w:p w14:paraId="2E1D32BB">
      <w:pPr>
        <w:widowControl/>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XXXXXX</w:t>
      </w:r>
    </w:p>
    <w:p w14:paraId="5DA5D9C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XXXXXX</w:t>
      </w:r>
    </w:p>
    <w:p w14:paraId="0409A04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7B0BFFEA">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通讯地址：</w:t>
      </w:r>
      <w:r>
        <w:rPr>
          <w:rFonts w:hint="eastAsia" w:ascii="仿宋" w:hAnsi="仿宋" w:eastAsia="仿宋" w:cs="仿宋"/>
          <w:color w:val="auto"/>
          <w:szCs w:val="21"/>
          <w:highlight w:val="none"/>
          <w:u w:val="single"/>
        </w:rPr>
        <w:t>XXXXXX</w:t>
      </w:r>
    </w:p>
    <w:p w14:paraId="45521628">
      <w:pPr>
        <w:widowControl/>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XXXXXX</w:t>
      </w:r>
    </w:p>
    <w:p w14:paraId="03078F3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日</w:t>
      </w:r>
    </w:p>
    <w:p w14:paraId="1E508531">
      <w:pPr>
        <w:widowControl/>
        <w:spacing w:line="400" w:lineRule="exact"/>
        <w:jc w:val="left"/>
        <w:rPr>
          <w:rFonts w:hint="eastAsia" w:ascii="仿宋" w:hAnsi="仿宋" w:eastAsia="仿宋" w:cs="仿宋"/>
          <w:color w:val="auto"/>
          <w:szCs w:val="21"/>
          <w:highlight w:val="none"/>
        </w:rPr>
      </w:pPr>
    </w:p>
    <w:p w14:paraId="480DFE97">
      <w:pPr>
        <w:widowControl/>
        <w:spacing w:line="400" w:lineRule="exact"/>
        <w:jc w:val="left"/>
        <w:rPr>
          <w:rFonts w:hint="eastAsia" w:ascii="仿宋" w:hAnsi="仿宋" w:eastAsia="仿宋" w:cs="仿宋"/>
          <w:color w:val="auto"/>
          <w:szCs w:val="21"/>
          <w:highlight w:val="none"/>
        </w:rPr>
      </w:pPr>
    </w:p>
    <w:p w14:paraId="66CFDF48">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6879833D">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格式2：资格声明函</w:t>
      </w:r>
    </w:p>
    <w:p w14:paraId="6A5DD6E5">
      <w:pPr>
        <w:widowControl/>
        <w:spacing w:line="400" w:lineRule="exact"/>
        <w:jc w:val="center"/>
        <w:rPr>
          <w:rFonts w:hint="eastAsia" w:ascii="仿宋" w:hAnsi="仿宋" w:eastAsia="仿宋" w:cs="仿宋"/>
          <w:color w:val="auto"/>
          <w:szCs w:val="21"/>
          <w:highlight w:val="none"/>
        </w:rPr>
      </w:pPr>
    </w:p>
    <w:p w14:paraId="0B1B9D72">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资格声明函</w:t>
      </w:r>
    </w:p>
    <w:p w14:paraId="1AEB1F0D">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（实质性要求）</w:t>
      </w:r>
    </w:p>
    <w:p w14:paraId="31FC777F">
      <w:pPr>
        <w:widowControl/>
        <w:spacing w:line="400" w:lineRule="exact"/>
        <w:jc w:val="left"/>
        <w:rPr>
          <w:rFonts w:hint="eastAsia" w:ascii="仿宋" w:hAnsi="仿宋" w:eastAsia="仿宋" w:cs="仿宋"/>
          <w:color w:val="auto"/>
          <w:szCs w:val="21"/>
          <w:highlight w:val="none"/>
        </w:rPr>
      </w:pPr>
    </w:p>
    <w:p w14:paraId="4DC6F9C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（采购人名称）：</w:t>
      </w:r>
    </w:p>
    <w:p w14:paraId="27F1EBA8">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我方作为本次采购活动的供应商，根据谈判文件要求，现郑重声明如下：</w:t>
      </w:r>
    </w:p>
    <w:p w14:paraId="2715DD29">
      <w:pPr>
        <w:widowControl/>
        <w:spacing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 我方符合</w:t>
      </w:r>
      <w:r>
        <w:rPr>
          <w:rFonts w:hint="eastAsia" w:ascii="仿宋" w:hAnsi="仿宋" w:eastAsia="仿宋" w:cs="仿宋"/>
          <w:color w:val="auto"/>
          <w:szCs w:val="21"/>
          <w:highlight w:val="none"/>
          <w:lang w:eastAsia="zh-CN"/>
        </w:rPr>
        <w:t>相关法律法规</w:t>
      </w:r>
      <w:r>
        <w:rPr>
          <w:rFonts w:hint="eastAsia" w:ascii="仿宋" w:hAnsi="仿宋" w:eastAsia="仿宋" w:cs="仿宋"/>
          <w:color w:val="auto"/>
          <w:szCs w:val="21"/>
          <w:highlight w:val="none"/>
        </w:rPr>
        <w:t>规定的条件</w:t>
      </w:r>
      <w:r>
        <w:rPr>
          <w:rFonts w:hint="eastAsia" w:ascii="仿宋" w:hAnsi="仿宋" w:eastAsia="仿宋" w:cs="仿宋"/>
          <w:color w:val="auto"/>
          <w:szCs w:val="21"/>
          <w:highlight w:val="none"/>
          <w:lang w:eastAsia="zh-CN"/>
        </w:rPr>
        <w:t>：</w:t>
      </w:r>
    </w:p>
    <w:p w14:paraId="4982282E">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1.1 </w:t>
      </w:r>
      <w:r>
        <w:rPr>
          <w:rFonts w:hint="eastAsia" w:ascii="仿宋" w:hAnsi="仿宋" w:eastAsia="仿宋" w:cs="仿宋"/>
          <w:color w:val="auto"/>
          <w:szCs w:val="21"/>
          <w:highlight w:val="none"/>
        </w:rPr>
        <w:t>具有独立承担民事责任的能力；</w:t>
      </w:r>
    </w:p>
    <w:p w14:paraId="15D563C7">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1.2 </w:t>
      </w:r>
      <w:r>
        <w:rPr>
          <w:rFonts w:hint="eastAsia" w:ascii="仿宋" w:hAnsi="仿宋" w:eastAsia="仿宋" w:cs="仿宋"/>
          <w:color w:val="auto"/>
          <w:szCs w:val="21"/>
          <w:highlight w:val="none"/>
        </w:rPr>
        <w:t>具有良好的商业信誉和健全的财务会计制度；</w:t>
      </w:r>
    </w:p>
    <w:p w14:paraId="39278E84">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1.3 </w:t>
      </w:r>
      <w:r>
        <w:rPr>
          <w:rFonts w:hint="eastAsia" w:ascii="仿宋" w:hAnsi="仿宋" w:eastAsia="仿宋" w:cs="仿宋"/>
          <w:color w:val="auto"/>
          <w:szCs w:val="21"/>
          <w:highlight w:val="none"/>
        </w:rPr>
        <w:t>具有履行合同所必须的设备和专业技术能力；</w:t>
      </w:r>
    </w:p>
    <w:p w14:paraId="3926E5A6">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1.4 </w:t>
      </w:r>
      <w:r>
        <w:rPr>
          <w:rFonts w:hint="eastAsia" w:ascii="仿宋" w:hAnsi="仿宋" w:eastAsia="仿宋" w:cs="仿宋"/>
          <w:color w:val="auto"/>
          <w:szCs w:val="21"/>
          <w:highlight w:val="none"/>
        </w:rPr>
        <w:t>具有依法缴纳税收和社会保障资金的良好记录；</w:t>
      </w:r>
    </w:p>
    <w:p w14:paraId="5348C756">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1.5 </w:t>
      </w:r>
      <w:r>
        <w:rPr>
          <w:rFonts w:hint="eastAsia" w:ascii="仿宋" w:hAnsi="仿宋" w:eastAsia="仿宋" w:cs="仿宋"/>
          <w:color w:val="auto"/>
          <w:szCs w:val="21"/>
          <w:highlight w:val="none"/>
        </w:rPr>
        <w:t>参加本次采购活动前三年内，在经营活动中没有重大违法记录；</w:t>
      </w:r>
    </w:p>
    <w:p w14:paraId="398D3AFF">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1.6 </w:t>
      </w:r>
      <w:r>
        <w:rPr>
          <w:rFonts w:hint="eastAsia" w:ascii="仿宋" w:hAnsi="仿宋" w:eastAsia="仿宋" w:cs="仿宋"/>
          <w:color w:val="auto"/>
          <w:szCs w:val="21"/>
          <w:highlight w:val="none"/>
        </w:rPr>
        <w:t>法律、行政法规规定的其他条件：无。</w:t>
      </w:r>
    </w:p>
    <w:p w14:paraId="5C46329A">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截至本项目响应文件提交截止日，我方未被列入失信被执行人、重大税收违法案件当事人名单、政府采购严重违法失信行为记录名单。若截至响应文件提交截止日，“信用中国”网站（www.creditchina.gov.cn）、等网站显示我方被列入失信被执行人、重大税收违法案件当事人名单、政府采购严重违法失信行为记录名单，我方不予通过资格审查。</w:t>
      </w:r>
    </w:p>
    <w:p w14:paraId="4D431809">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 我方完全符合第二章须知前附表“充分、公平竞争保障措施”的规定。若我方不符合第二章须知前附表“充分、公平竞争保障措施”的规定，我方不予通过资格审查。</w:t>
      </w:r>
    </w:p>
    <w:p w14:paraId="37AA2166">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 与我方存在直接控股关系的单位为：</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；存在管理关系单位为：</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。（如果没有的，填写“无”）</w:t>
      </w:r>
    </w:p>
    <w:p w14:paraId="59B0F801">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我方对上述声明内容的真实性负责。如经查证声明内容存在虚假，我方愿意依法承担因提供虚假材料谋取成交的法律责任。</w:t>
      </w:r>
    </w:p>
    <w:p w14:paraId="34542D2C">
      <w:pPr>
        <w:widowControl/>
        <w:spacing w:line="400" w:lineRule="exact"/>
        <w:jc w:val="left"/>
        <w:rPr>
          <w:rFonts w:hint="eastAsia" w:ascii="仿宋" w:hAnsi="仿宋" w:eastAsia="仿宋" w:cs="仿宋"/>
          <w:color w:val="auto"/>
          <w:szCs w:val="21"/>
          <w:highlight w:val="none"/>
        </w:rPr>
      </w:pPr>
    </w:p>
    <w:p w14:paraId="0E040E34">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25B65B42">
      <w:pPr>
        <w:widowControl/>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联系地址：</w:t>
      </w:r>
      <w:r>
        <w:rPr>
          <w:rFonts w:hint="eastAsia" w:ascii="仿宋" w:hAnsi="仿宋" w:eastAsia="仿宋" w:cs="仿宋"/>
          <w:color w:val="auto"/>
          <w:szCs w:val="21"/>
          <w:highlight w:val="none"/>
          <w:u w:val="single"/>
        </w:rPr>
        <w:t>XXXXXX</w:t>
      </w:r>
    </w:p>
    <w:p w14:paraId="10E8D00D">
      <w:pPr>
        <w:widowControl/>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 系 人：</w:t>
      </w:r>
      <w:r>
        <w:rPr>
          <w:rFonts w:hint="eastAsia" w:ascii="仿宋" w:hAnsi="仿宋" w:eastAsia="仿宋" w:cs="仿宋"/>
          <w:color w:val="auto"/>
          <w:szCs w:val="21"/>
          <w:highlight w:val="none"/>
          <w:u w:val="single"/>
        </w:rPr>
        <w:t>XXXXXX</w:t>
      </w:r>
    </w:p>
    <w:p w14:paraId="10F46BE2">
      <w:pPr>
        <w:widowControl/>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联系方式：</w:t>
      </w:r>
      <w:r>
        <w:rPr>
          <w:rFonts w:hint="eastAsia" w:ascii="仿宋" w:hAnsi="仿宋" w:eastAsia="仿宋" w:cs="仿宋"/>
          <w:color w:val="auto"/>
          <w:szCs w:val="21"/>
          <w:highlight w:val="none"/>
          <w:u w:val="single"/>
        </w:rPr>
        <w:t>XXXXXX</w:t>
      </w:r>
    </w:p>
    <w:p w14:paraId="277E4168">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A9D35DF">
      <w:pPr>
        <w:widowControl/>
        <w:spacing w:line="400" w:lineRule="exact"/>
        <w:jc w:val="left"/>
        <w:rPr>
          <w:rFonts w:hint="eastAsia" w:ascii="仿宋" w:hAnsi="仿宋" w:eastAsia="仿宋" w:cs="仿宋"/>
          <w:color w:val="auto"/>
          <w:szCs w:val="21"/>
          <w:highlight w:val="none"/>
        </w:rPr>
      </w:pPr>
    </w:p>
    <w:p w14:paraId="3FE763A2">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451EE581">
      <w:pPr>
        <w:widowControl/>
        <w:spacing w:line="400" w:lineRule="exact"/>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rPr>
        <w:t>：</w:t>
      </w:r>
      <w:r>
        <w:rPr>
          <w:rFonts w:hint="eastAsia" w:ascii="仿宋" w:hAnsi="仿宋" w:eastAsia="仿宋" w:cs="仿宋"/>
          <w:b/>
          <w:color w:val="auto"/>
          <w:sz w:val="21"/>
          <w:szCs w:val="21"/>
          <w:highlight w:val="none"/>
        </w:rPr>
        <w:t>法定代表人/单位负责人身份证明</w:t>
      </w:r>
    </w:p>
    <w:p w14:paraId="0CC4EA37">
      <w:pPr>
        <w:jc w:val="center"/>
        <w:rPr>
          <w:rFonts w:hint="eastAsia" w:ascii="仿宋" w:hAnsi="仿宋" w:eastAsia="仿宋" w:cs="仿宋"/>
          <w:b/>
          <w:color w:val="auto"/>
          <w:sz w:val="21"/>
          <w:szCs w:val="21"/>
          <w:highlight w:val="none"/>
        </w:rPr>
      </w:pPr>
    </w:p>
    <w:p w14:paraId="30537AE9">
      <w:pPr>
        <w:jc w:val="center"/>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法定代表人/单位负责人身份证明</w:t>
      </w:r>
    </w:p>
    <w:p w14:paraId="4C943119">
      <w:pPr>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b w:val="0"/>
          <w:bCs/>
          <w:color w:val="auto"/>
          <w:sz w:val="21"/>
          <w:szCs w:val="21"/>
          <w:highlight w:val="none"/>
          <w:lang w:val="zh-CN"/>
        </w:rPr>
        <w:t>实质性要求</w:t>
      </w:r>
      <w:r>
        <w:rPr>
          <w:rFonts w:hint="eastAsia" w:ascii="仿宋" w:hAnsi="仿宋" w:eastAsia="仿宋" w:cs="仿宋"/>
          <w:color w:val="auto"/>
          <w:sz w:val="21"/>
          <w:szCs w:val="21"/>
          <w:highlight w:val="none"/>
          <w:lang w:val="zh-CN"/>
        </w:rPr>
        <w:t>）</w:t>
      </w:r>
    </w:p>
    <w:p w14:paraId="54BD618C">
      <w:pPr>
        <w:pStyle w:val="76"/>
        <w:rPr>
          <w:color w:val="auto"/>
          <w:highlight w:val="none"/>
        </w:rPr>
      </w:pPr>
    </w:p>
    <w:p w14:paraId="1B31BABE">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（采购人名称）：</w:t>
      </w:r>
    </w:p>
    <w:p w14:paraId="7B1B893B">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(姓名）系</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（供应商名称）的法定代表人/单位负责人（职务：</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,电话：</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w:t>
      </w:r>
    </w:p>
    <w:p w14:paraId="5A98AD9C">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p>
    <w:p w14:paraId="32BC945A">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特此证明。</w:t>
      </w:r>
    </w:p>
    <w:p w14:paraId="4C9D9339">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p>
    <w:p w14:paraId="1B12F6E8">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p>
    <w:p w14:paraId="57B93FAE">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附：法定代表人/单位负责人身份证复印件（提供其在有效期的材料，居民身份证正、反面复印件）</w:t>
      </w:r>
    </w:p>
    <w:p w14:paraId="2E56E725">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p>
    <w:p w14:paraId="47AF358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7D44B9F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法定代表人/单位负责人（签字或盖章）：XXX</w:t>
      </w:r>
    </w:p>
    <w:p w14:paraId="490E277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21E14B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b/>
          <w:color w:val="auto"/>
          <w:sz w:val="21"/>
          <w:szCs w:val="21"/>
          <w:highlight w:val="none"/>
        </w:rPr>
      </w:pPr>
    </w:p>
    <w:p w14:paraId="30E9504A">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注：1、供应商为法人单位时提供“法定代表人授权书”，供应商为其他组织时提供“单位负责人授权书”。</w:t>
      </w:r>
    </w:p>
    <w:p w14:paraId="2510606A">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2、应附法定代表人/单位负责人身份证明材料复印件和授权代表身份证明材料复印件。</w:t>
      </w:r>
    </w:p>
    <w:p w14:paraId="77AC3DD3">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3、身份证明材料包括居民身份证或户口本或军官证或护照等。</w:t>
      </w:r>
    </w:p>
    <w:p w14:paraId="69AD257A">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4、身份证明材料应同时提供其在有效期的材料，如居民身份证正、反面复印件。</w:t>
      </w:r>
    </w:p>
    <w:p w14:paraId="6FB955AE">
      <w:pPr>
        <w:pStyle w:val="76"/>
        <w:rPr>
          <w:rFonts w:hint="eastAsia"/>
          <w:color w:val="auto"/>
          <w:highlight w:val="none"/>
          <w:lang w:eastAsia="zh-CN"/>
        </w:rPr>
      </w:pPr>
    </w:p>
    <w:p w14:paraId="44214AE1">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3BAA618">
      <w:pPr>
        <w:widowControl/>
        <w:spacing w:line="400" w:lineRule="exact"/>
        <w:jc w:val="left"/>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eastAsia="zh-CN"/>
        </w:rPr>
        <w:t>格式</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rPr>
        <w:t>法定代表人/单位负责人授权书</w:t>
      </w:r>
    </w:p>
    <w:p w14:paraId="4CEA398E">
      <w:pPr>
        <w:widowControl/>
        <w:spacing w:line="400" w:lineRule="exact"/>
        <w:jc w:val="center"/>
        <w:rPr>
          <w:rFonts w:hint="eastAsia" w:ascii="仿宋" w:hAnsi="仿宋" w:eastAsia="仿宋" w:cs="仿宋"/>
          <w:b/>
          <w:color w:val="auto"/>
          <w:sz w:val="32"/>
          <w:szCs w:val="32"/>
          <w:highlight w:val="none"/>
        </w:rPr>
      </w:pPr>
    </w:p>
    <w:p w14:paraId="03350A1A">
      <w:pPr>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法定代表人/单位负责人授权书</w:t>
      </w:r>
    </w:p>
    <w:p w14:paraId="2A8FB940">
      <w:pPr>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zh-CN"/>
        </w:rPr>
        <w:t>（实质性要求</w:t>
      </w:r>
      <w:r>
        <w:rPr>
          <w:rFonts w:hint="eastAsia" w:ascii="仿宋" w:hAnsi="仿宋" w:eastAsia="仿宋" w:cs="仿宋"/>
          <w:b w:val="0"/>
          <w:bCs/>
          <w:color w:val="auto"/>
          <w:sz w:val="21"/>
          <w:szCs w:val="21"/>
          <w:highlight w:val="none"/>
        </w:rPr>
        <w:t>）</w:t>
      </w:r>
    </w:p>
    <w:p w14:paraId="160CA94C">
      <w:pPr>
        <w:pStyle w:val="76"/>
        <w:rPr>
          <w:rFonts w:hint="eastAsia"/>
          <w:color w:val="auto"/>
          <w:highlight w:val="none"/>
        </w:rPr>
      </w:pPr>
    </w:p>
    <w:p w14:paraId="67A02D6E">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（采购人名称）：</w:t>
      </w:r>
    </w:p>
    <w:p w14:paraId="0EA872A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本授权声明：</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（单位名称）,</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（法定代表人/单位负责人姓名、职务）授权</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（被授权人姓名、职务）为我方参加</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项目（项目编号：</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）谈判采购活动的合法代表，以我方名义全权处理该项目有关谈判、报价、签订合同以及执行合同等一切事宜。</w:t>
      </w:r>
    </w:p>
    <w:p w14:paraId="764BAA6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特此声明。</w:t>
      </w:r>
    </w:p>
    <w:p w14:paraId="39F43B4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委托期限：</w:t>
      </w:r>
      <w:r>
        <w:rPr>
          <w:rFonts w:hint="eastAsia" w:ascii="仿宋" w:hAnsi="仿宋" w:eastAsia="仿宋" w:cs="仿宋"/>
          <w:color w:val="auto"/>
          <w:sz w:val="21"/>
          <w:szCs w:val="21"/>
          <w:highlight w:val="none"/>
          <w:u w:val="single"/>
        </w:rPr>
        <w:t>自本授权委托书签署之日起至谈判文件约定的“谈判有效期”结束为止。</w:t>
      </w:r>
    </w:p>
    <w:p w14:paraId="450D497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代理人无转委托权，特此委托</w:t>
      </w:r>
    </w:p>
    <w:p w14:paraId="1A6C657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附：法定代表人/单位负责人及被委托人身份证复印件</w:t>
      </w:r>
    </w:p>
    <w:p w14:paraId="5A112B1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p>
    <w:p w14:paraId="402FDD7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009739A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法定代表人/单位负责人（签字或盖章）：XXX</w:t>
      </w:r>
    </w:p>
    <w:p w14:paraId="17BC25D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    务：XXX</w:t>
      </w:r>
    </w:p>
    <w:p w14:paraId="7D3058F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被授权人签字：XXX</w:t>
      </w:r>
    </w:p>
    <w:p w14:paraId="4644AE8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    务：XXX</w:t>
      </w:r>
    </w:p>
    <w:p w14:paraId="043B87A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    期：XXX年XXX月XXX日</w:t>
      </w:r>
    </w:p>
    <w:p w14:paraId="2412E7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b/>
          <w:color w:val="auto"/>
          <w:sz w:val="21"/>
          <w:szCs w:val="21"/>
          <w:highlight w:val="none"/>
        </w:rPr>
      </w:pPr>
    </w:p>
    <w:p w14:paraId="775DF6DF">
      <w:pPr>
        <w:keepNext w:val="0"/>
        <w:keepLines w:val="0"/>
        <w:pageBreakBefore w:val="0"/>
        <w:widowControl/>
        <w:kinsoku/>
        <w:wordWrap/>
        <w:overflowPunct/>
        <w:topLinePunct w:val="0"/>
        <w:autoSpaceDE/>
        <w:autoSpaceDN/>
        <w:bidi w:val="0"/>
        <w:adjustRightInd/>
        <w:snapToGrid/>
        <w:spacing w:line="400" w:lineRule="exact"/>
        <w:ind w:left="378" w:leftChars="0" w:hanging="378" w:hangingChars="18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注：1、供应商为法人单位时提供“法定代表人授权书”，供应商为其他组织时提供“单位负责人授权书”，供应商为自然人时提供“自然人身份证明材料”。</w:t>
      </w:r>
    </w:p>
    <w:p w14:paraId="30224E7E">
      <w:pPr>
        <w:keepNext w:val="0"/>
        <w:keepLines w:val="0"/>
        <w:pageBreakBefore w:val="0"/>
        <w:widowControl/>
        <w:kinsoku/>
        <w:wordWrap/>
        <w:overflowPunct/>
        <w:topLinePunct w:val="0"/>
        <w:autoSpaceDE/>
        <w:autoSpaceDN/>
        <w:bidi w:val="0"/>
        <w:adjustRightInd/>
        <w:snapToGrid/>
        <w:spacing w:line="400" w:lineRule="exact"/>
        <w:ind w:left="191" w:leftChars="91" w:firstLine="226" w:firstLineChars="108"/>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2、应附法定代表人/单位负责人身份证明材料复印件和授权代表身份证明材料复印件。</w:t>
      </w:r>
    </w:p>
    <w:p w14:paraId="6A78E656">
      <w:pPr>
        <w:keepNext w:val="0"/>
        <w:keepLines w:val="0"/>
        <w:pageBreakBefore w:val="0"/>
        <w:widowControl/>
        <w:kinsoku/>
        <w:wordWrap/>
        <w:overflowPunct/>
        <w:topLinePunct w:val="0"/>
        <w:autoSpaceDE/>
        <w:autoSpaceDN/>
        <w:bidi w:val="0"/>
        <w:adjustRightInd/>
        <w:snapToGrid/>
        <w:spacing w:line="400" w:lineRule="exact"/>
        <w:ind w:left="191" w:leftChars="91" w:firstLine="226" w:firstLineChars="108"/>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3、身份证明材料包括居民身份证或户口本或军官证或护照等。</w:t>
      </w:r>
    </w:p>
    <w:p w14:paraId="3E16A506">
      <w:pPr>
        <w:keepNext w:val="0"/>
        <w:keepLines w:val="0"/>
        <w:pageBreakBefore w:val="0"/>
        <w:widowControl/>
        <w:kinsoku/>
        <w:wordWrap/>
        <w:overflowPunct/>
        <w:topLinePunct w:val="0"/>
        <w:autoSpaceDE/>
        <w:autoSpaceDN/>
        <w:bidi w:val="0"/>
        <w:adjustRightInd/>
        <w:snapToGrid/>
        <w:spacing w:line="400" w:lineRule="exact"/>
        <w:ind w:left="191" w:leftChars="91" w:firstLine="226" w:firstLineChars="108"/>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4、身份证明材料应同时提供其在有效期的材料，如居民身份证正、反面复印件。</w:t>
      </w:r>
    </w:p>
    <w:p w14:paraId="075D07A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370BE896">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rPr>
        <w:t>：承诺函</w:t>
      </w:r>
    </w:p>
    <w:p w14:paraId="644F2ECA">
      <w:pPr>
        <w:widowControl/>
        <w:spacing w:line="400" w:lineRule="exact"/>
        <w:jc w:val="center"/>
        <w:rPr>
          <w:rFonts w:hint="eastAsia" w:ascii="仿宋" w:hAnsi="仿宋" w:eastAsia="仿宋" w:cs="仿宋"/>
          <w:color w:val="auto"/>
          <w:szCs w:val="21"/>
          <w:highlight w:val="none"/>
        </w:rPr>
      </w:pPr>
    </w:p>
    <w:p w14:paraId="33988DE3">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承诺函</w:t>
      </w:r>
    </w:p>
    <w:p w14:paraId="3F58511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（实质性要求）</w:t>
      </w:r>
    </w:p>
    <w:p w14:paraId="4B5EBD4C">
      <w:pPr>
        <w:widowControl/>
        <w:spacing w:line="400" w:lineRule="exact"/>
        <w:rPr>
          <w:rFonts w:hint="eastAsia" w:ascii="仿宋" w:hAnsi="仿宋" w:eastAsia="仿宋" w:cs="仿宋"/>
          <w:color w:val="auto"/>
          <w:szCs w:val="21"/>
          <w:highlight w:val="none"/>
          <w:u w:val="single"/>
        </w:rPr>
      </w:pPr>
    </w:p>
    <w:p w14:paraId="52F063DA">
      <w:pPr>
        <w:widowControl/>
        <w:spacing w:line="400" w:lineRule="exact"/>
        <w:rPr>
          <w:rFonts w:hint="eastAsia" w:ascii="仿宋" w:hAnsi="仿宋" w:eastAsia="仿宋" w:cs="仿宋"/>
          <w:bCs/>
          <w:color w:val="auto"/>
          <w:szCs w:val="21"/>
          <w:highlight w:val="none"/>
        </w:rPr>
      </w:pPr>
      <w:r>
        <w:rPr>
          <w:rFonts w:hint="eastAsia" w:ascii="仿宋" w:hAnsi="仿宋" w:eastAsia="仿宋" w:cs="仿宋"/>
          <w:color w:val="auto"/>
          <w:szCs w:val="21"/>
          <w:highlight w:val="none"/>
          <w:u w:val="single"/>
        </w:rPr>
        <w:t>XXXXXXXX</w:t>
      </w:r>
      <w:r>
        <w:rPr>
          <w:rFonts w:hint="eastAsia" w:ascii="仿宋" w:hAnsi="仿宋" w:eastAsia="仿宋" w:cs="仿宋"/>
          <w:color w:val="auto"/>
          <w:szCs w:val="21"/>
          <w:highlight w:val="none"/>
        </w:rPr>
        <w:t>（采购人名称）：</w:t>
      </w:r>
    </w:p>
    <w:p w14:paraId="0449623B">
      <w:pPr>
        <w:pStyle w:val="54"/>
        <w:widowControl/>
        <w:spacing w:line="400" w:lineRule="exact"/>
        <w:ind w:left="42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我方作为本次采购活动的供应商，根据谈判文件要求，现郑重承诺如下：</w:t>
      </w:r>
    </w:p>
    <w:p w14:paraId="534DCD3C">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我方已认真阅读并接受本项目谈判文件的全部实质性要求。</w:t>
      </w:r>
    </w:p>
    <w:p w14:paraId="36D688CA">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我方承诺在响应文件有效期</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天内不撤销响应文件。</w:t>
      </w:r>
    </w:p>
    <w:p w14:paraId="3B08470F">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响应文件中提供的任何资料和技术、服务、商务等响应承诺情况都是真实的、有效的、合法的。</w:t>
      </w:r>
    </w:p>
    <w:p w14:paraId="1A4A7815">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本项目采购过程中需要提供样品，则我方提供的样品即为成交后将要提供的成交产品，我方对提供样品的性能和质量负责，因样品存在缺陷或者不符合谈判文件要求导致未能成交的，我方愿意承担相应不利后果。</w:t>
      </w:r>
    </w:p>
    <w:p w14:paraId="35DF218D">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国家或行业主管部门对工程项目的技术标准、质量标准和资格资质条件等有强制性规定的，我方承诺符合其要求。</w:t>
      </w:r>
    </w:p>
    <w:p w14:paraId="5A4F33A1">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参加本次采购活动，我方完全同意谈判文件第二章的全部实质性要求，并承诺严格按照谈判文件要求履行。</w:t>
      </w:r>
    </w:p>
    <w:p w14:paraId="251D482F">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41C8EB1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我方对上述声明内容的真实性负责。如经查证声明内容存在虚假，我方愿意依法承担因提供虚假材料谋取成交的法律责任。</w:t>
      </w:r>
    </w:p>
    <w:p w14:paraId="2FB3D2FE">
      <w:pPr>
        <w:widowControl/>
        <w:spacing w:line="400" w:lineRule="exact"/>
        <w:ind w:firstLine="420" w:firstLineChars="200"/>
        <w:jc w:val="left"/>
        <w:rPr>
          <w:rFonts w:hint="eastAsia" w:ascii="仿宋" w:hAnsi="仿宋" w:eastAsia="仿宋" w:cs="仿宋"/>
          <w:color w:val="auto"/>
          <w:szCs w:val="21"/>
          <w:highlight w:val="none"/>
        </w:rPr>
      </w:pPr>
    </w:p>
    <w:p w14:paraId="7FEF7C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3A6A4E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8494F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24B375CB">
      <w:pPr>
        <w:widowControl/>
        <w:spacing w:line="400" w:lineRule="exact"/>
        <w:jc w:val="left"/>
        <w:rPr>
          <w:rFonts w:hint="eastAsia" w:ascii="仿宋" w:hAnsi="仿宋" w:eastAsia="仿宋" w:cs="仿宋"/>
          <w:color w:val="auto"/>
          <w:szCs w:val="21"/>
          <w:highlight w:val="none"/>
        </w:rPr>
      </w:pPr>
    </w:p>
    <w:p w14:paraId="6DBAD17A">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84D195E">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：首轮报价一览表</w:t>
      </w:r>
    </w:p>
    <w:p w14:paraId="2E7C7A79">
      <w:pPr>
        <w:widowControl/>
        <w:spacing w:line="400" w:lineRule="exact"/>
        <w:jc w:val="center"/>
        <w:rPr>
          <w:rFonts w:hint="eastAsia" w:ascii="仿宋" w:hAnsi="仿宋" w:eastAsia="仿宋" w:cs="仿宋"/>
          <w:color w:val="auto"/>
          <w:szCs w:val="21"/>
          <w:highlight w:val="none"/>
        </w:rPr>
      </w:pPr>
    </w:p>
    <w:p w14:paraId="27FE6564">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首轮报价一览表</w:t>
      </w:r>
    </w:p>
    <w:p w14:paraId="70429E00">
      <w:pPr>
        <w:pStyle w:val="9"/>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w:t>
      </w:r>
    </w:p>
    <w:p w14:paraId="2D612565">
      <w:pPr>
        <w:pStyle w:val="26"/>
        <w:ind w:firstLine="240"/>
        <w:rPr>
          <w:rFonts w:hint="eastAsia" w:ascii="仿宋" w:hAnsi="仿宋" w:eastAsia="仿宋" w:cs="仿宋"/>
          <w:color w:val="auto"/>
          <w:highlight w:val="none"/>
        </w:rPr>
      </w:pPr>
    </w:p>
    <w:tbl>
      <w:tblPr>
        <w:tblStyle w:val="29"/>
        <w:tblW w:w="4990" w:type="pct"/>
        <w:jc w:val="center"/>
        <w:tblLayout w:type="fixed"/>
        <w:tblCellMar>
          <w:top w:w="0" w:type="dxa"/>
          <w:left w:w="108" w:type="dxa"/>
          <w:bottom w:w="0" w:type="dxa"/>
          <w:right w:w="108" w:type="dxa"/>
        </w:tblCellMar>
      </w:tblPr>
      <w:tblGrid>
        <w:gridCol w:w="1444"/>
        <w:gridCol w:w="1170"/>
        <w:gridCol w:w="1124"/>
        <w:gridCol w:w="2045"/>
        <w:gridCol w:w="777"/>
        <w:gridCol w:w="737"/>
        <w:gridCol w:w="1391"/>
        <w:gridCol w:w="1255"/>
      </w:tblGrid>
      <w:tr w14:paraId="70FB3E9E">
        <w:tblPrEx>
          <w:tblCellMar>
            <w:top w:w="0" w:type="dxa"/>
            <w:left w:w="108" w:type="dxa"/>
            <w:bottom w:w="0" w:type="dxa"/>
            <w:right w:w="108" w:type="dxa"/>
          </w:tblCellMar>
        </w:tblPrEx>
        <w:trPr>
          <w:trHeight w:val="624" w:hRule="atLeast"/>
          <w:jc w:val="center"/>
        </w:trPr>
        <w:tc>
          <w:tcPr>
            <w:tcW w:w="1314" w:type="pct"/>
            <w:gridSpan w:val="2"/>
            <w:tcBorders>
              <w:top w:val="single" w:color="auto" w:sz="4" w:space="0"/>
              <w:left w:val="single" w:color="auto" w:sz="4" w:space="0"/>
              <w:bottom w:val="single" w:color="auto" w:sz="4" w:space="0"/>
              <w:right w:val="single" w:color="auto" w:sz="4" w:space="0"/>
            </w:tcBorders>
            <w:noWrap/>
            <w:vAlign w:val="center"/>
          </w:tcPr>
          <w:p w14:paraId="345A31CD">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tc>
        <w:tc>
          <w:tcPr>
            <w:tcW w:w="3685" w:type="pct"/>
            <w:gridSpan w:val="6"/>
            <w:tcBorders>
              <w:top w:val="single" w:color="auto" w:sz="4" w:space="0"/>
              <w:left w:val="nil"/>
              <w:bottom w:val="single" w:color="auto" w:sz="4" w:space="0"/>
              <w:right w:val="single" w:color="auto" w:sz="4" w:space="0"/>
            </w:tcBorders>
            <w:noWrap/>
            <w:vAlign w:val="center"/>
          </w:tcPr>
          <w:p w14:paraId="098DDF06">
            <w:pPr>
              <w:rPr>
                <w:rFonts w:ascii="仿宋" w:hAnsi="仿宋" w:eastAsia="仿宋" w:cs="仿宋"/>
                <w:bCs/>
                <w:color w:val="auto"/>
                <w:sz w:val="21"/>
                <w:szCs w:val="21"/>
                <w:highlight w:val="none"/>
              </w:rPr>
            </w:pPr>
          </w:p>
        </w:tc>
      </w:tr>
      <w:tr w14:paraId="110FBDC7">
        <w:tblPrEx>
          <w:tblCellMar>
            <w:top w:w="0" w:type="dxa"/>
            <w:left w:w="108" w:type="dxa"/>
            <w:bottom w:w="0" w:type="dxa"/>
            <w:right w:w="108" w:type="dxa"/>
          </w:tblCellMar>
        </w:tblPrEx>
        <w:trPr>
          <w:trHeight w:val="624" w:hRule="atLeast"/>
          <w:jc w:val="center"/>
        </w:trPr>
        <w:tc>
          <w:tcPr>
            <w:tcW w:w="1314" w:type="pct"/>
            <w:gridSpan w:val="2"/>
            <w:tcBorders>
              <w:top w:val="single" w:color="auto" w:sz="4" w:space="0"/>
              <w:left w:val="single" w:color="auto" w:sz="4" w:space="0"/>
              <w:bottom w:val="single" w:color="auto" w:sz="4" w:space="0"/>
              <w:right w:val="single" w:color="auto" w:sz="4" w:space="0"/>
            </w:tcBorders>
            <w:noWrap/>
            <w:vAlign w:val="center"/>
          </w:tcPr>
          <w:p w14:paraId="05748767">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项目编号</w:t>
            </w:r>
          </w:p>
        </w:tc>
        <w:tc>
          <w:tcPr>
            <w:tcW w:w="3685" w:type="pct"/>
            <w:gridSpan w:val="6"/>
            <w:tcBorders>
              <w:top w:val="single" w:color="auto" w:sz="4" w:space="0"/>
              <w:left w:val="nil"/>
              <w:bottom w:val="single" w:color="auto" w:sz="4" w:space="0"/>
              <w:right w:val="single" w:color="auto" w:sz="4" w:space="0"/>
            </w:tcBorders>
            <w:noWrap/>
            <w:vAlign w:val="center"/>
          </w:tcPr>
          <w:p w14:paraId="77555134">
            <w:pPr>
              <w:rPr>
                <w:rFonts w:ascii="仿宋" w:hAnsi="仿宋" w:eastAsia="仿宋" w:cs="仿宋"/>
                <w:bCs/>
                <w:color w:val="auto"/>
                <w:sz w:val="21"/>
                <w:szCs w:val="21"/>
                <w:highlight w:val="none"/>
              </w:rPr>
            </w:pPr>
          </w:p>
        </w:tc>
      </w:tr>
      <w:tr w14:paraId="179FA6BC">
        <w:tblPrEx>
          <w:tblCellMar>
            <w:top w:w="0" w:type="dxa"/>
            <w:left w:w="108" w:type="dxa"/>
            <w:bottom w:w="0" w:type="dxa"/>
            <w:right w:w="108" w:type="dxa"/>
          </w:tblCellMar>
        </w:tblPrEx>
        <w:trPr>
          <w:trHeight w:val="624" w:hRule="atLeast"/>
          <w:jc w:val="center"/>
        </w:trPr>
        <w:tc>
          <w:tcPr>
            <w:tcW w:w="726" w:type="pct"/>
            <w:tcBorders>
              <w:top w:val="nil"/>
              <w:left w:val="single" w:color="auto" w:sz="4" w:space="0"/>
              <w:bottom w:val="single" w:color="auto" w:sz="4" w:space="0"/>
              <w:right w:val="single" w:color="auto" w:sz="4" w:space="0"/>
            </w:tcBorders>
            <w:noWrap/>
            <w:vAlign w:val="center"/>
          </w:tcPr>
          <w:p w14:paraId="40A77D45">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1153" w:type="pct"/>
            <w:gridSpan w:val="2"/>
            <w:tcBorders>
              <w:top w:val="nil"/>
              <w:left w:val="nil"/>
              <w:bottom w:val="single" w:color="auto" w:sz="4" w:space="0"/>
              <w:right w:val="single" w:color="auto" w:sz="4" w:space="0"/>
            </w:tcBorders>
            <w:noWrap/>
            <w:vAlign w:val="center"/>
          </w:tcPr>
          <w:p w14:paraId="20FA93DC">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采购标的</w:t>
            </w:r>
          </w:p>
        </w:tc>
        <w:tc>
          <w:tcPr>
            <w:tcW w:w="1028" w:type="pct"/>
            <w:tcBorders>
              <w:top w:val="nil"/>
              <w:left w:val="nil"/>
              <w:bottom w:val="single" w:color="auto" w:sz="4" w:space="0"/>
              <w:right w:val="single" w:color="auto" w:sz="4" w:space="0"/>
            </w:tcBorders>
            <w:noWrap/>
            <w:vAlign w:val="center"/>
          </w:tcPr>
          <w:p w14:paraId="18F7DEF5">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服务期限</w:t>
            </w:r>
          </w:p>
        </w:tc>
        <w:tc>
          <w:tcPr>
            <w:tcW w:w="390" w:type="pct"/>
            <w:tcBorders>
              <w:top w:val="nil"/>
              <w:left w:val="nil"/>
              <w:bottom w:val="single" w:color="auto" w:sz="4" w:space="0"/>
              <w:right w:val="single" w:color="auto" w:sz="4" w:space="0"/>
            </w:tcBorders>
            <w:noWrap/>
            <w:vAlign w:val="center"/>
          </w:tcPr>
          <w:p w14:paraId="0C39363A">
            <w:pPr>
              <w:pStyle w:val="75"/>
              <w:wordWrap w:val="0"/>
              <w:spacing w:line="320" w:lineRule="exact"/>
              <w:ind w:left="38"/>
              <w:jc w:val="center"/>
              <w:rPr>
                <w:rFonts w:hint="eastAsia" w:ascii="仿宋" w:hAnsi="仿宋" w:eastAsia="宋体"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rPr>
              <w:t>数量</w:t>
            </w:r>
          </w:p>
        </w:tc>
        <w:tc>
          <w:tcPr>
            <w:tcW w:w="370" w:type="pct"/>
            <w:tcBorders>
              <w:top w:val="nil"/>
              <w:left w:val="nil"/>
              <w:bottom w:val="single" w:color="auto" w:sz="4" w:space="0"/>
              <w:right w:val="single" w:color="auto" w:sz="4" w:space="0"/>
            </w:tcBorders>
            <w:noWrap/>
            <w:vAlign w:val="center"/>
          </w:tcPr>
          <w:p w14:paraId="4C7F1BE9">
            <w:pPr>
              <w:pStyle w:val="75"/>
              <w:wordWrap w:val="0"/>
              <w:spacing w:line="320" w:lineRule="exact"/>
              <w:ind w:left="3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单位</w:t>
            </w:r>
          </w:p>
        </w:tc>
        <w:tc>
          <w:tcPr>
            <w:tcW w:w="699" w:type="pct"/>
            <w:tcBorders>
              <w:top w:val="nil"/>
              <w:left w:val="nil"/>
              <w:bottom w:val="single" w:color="auto" w:sz="4" w:space="0"/>
              <w:right w:val="single" w:color="auto" w:sz="4" w:space="0"/>
            </w:tcBorders>
            <w:noWrap/>
            <w:vAlign w:val="center"/>
          </w:tcPr>
          <w:p w14:paraId="00E89576">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单价</w:t>
            </w:r>
            <w:r>
              <w:rPr>
                <w:rFonts w:hint="eastAsia" w:ascii="仿宋" w:hAnsi="仿宋" w:eastAsia="仿宋" w:cs="仿宋"/>
                <w:bCs/>
                <w:color w:val="auto"/>
                <w:sz w:val="21"/>
                <w:szCs w:val="21"/>
                <w:highlight w:val="none"/>
              </w:rPr>
              <w:t>（元）</w:t>
            </w:r>
          </w:p>
        </w:tc>
        <w:tc>
          <w:tcPr>
            <w:tcW w:w="631" w:type="pct"/>
            <w:tcBorders>
              <w:top w:val="nil"/>
              <w:left w:val="nil"/>
              <w:bottom w:val="single" w:color="auto" w:sz="4" w:space="0"/>
              <w:right w:val="single" w:color="auto" w:sz="4" w:space="0"/>
            </w:tcBorders>
            <w:noWrap/>
            <w:vAlign w:val="center"/>
          </w:tcPr>
          <w:p w14:paraId="58B813F8">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总价（元）</w:t>
            </w:r>
          </w:p>
        </w:tc>
      </w:tr>
      <w:tr w14:paraId="12A9325C">
        <w:tblPrEx>
          <w:tblCellMar>
            <w:top w:w="0" w:type="dxa"/>
            <w:left w:w="108" w:type="dxa"/>
            <w:bottom w:w="0" w:type="dxa"/>
            <w:right w:w="108" w:type="dxa"/>
          </w:tblCellMar>
        </w:tblPrEx>
        <w:trPr>
          <w:trHeight w:val="312" w:hRule="atLeast"/>
          <w:jc w:val="center"/>
        </w:trPr>
        <w:tc>
          <w:tcPr>
            <w:tcW w:w="726" w:type="pct"/>
            <w:tcBorders>
              <w:top w:val="nil"/>
              <w:left w:val="single" w:color="auto" w:sz="4" w:space="0"/>
              <w:bottom w:val="single" w:color="auto" w:sz="4" w:space="0"/>
              <w:right w:val="single" w:color="auto" w:sz="4" w:space="0"/>
            </w:tcBorders>
            <w:noWrap/>
            <w:vAlign w:val="center"/>
          </w:tcPr>
          <w:p w14:paraId="2549984F">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1153" w:type="pct"/>
            <w:gridSpan w:val="2"/>
            <w:tcBorders>
              <w:top w:val="nil"/>
              <w:left w:val="nil"/>
              <w:bottom w:val="single" w:color="auto" w:sz="4" w:space="0"/>
              <w:right w:val="single" w:color="auto" w:sz="4" w:space="0"/>
            </w:tcBorders>
            <w:noWrap/>
            <w:vAlign w:val="center"/>
          </w:tcPr>
          <w:p w14:paraId="143C02A2">
            <w:pPr>
              <w:jc w:val="center"/>
              <w:rPr>
                <w:rFonts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355CBD01">
            <w:pPr>
              <w:jc w:val="center"/>
              <w:rPr>
                <w:rFonts w:ascii="仿宋" w:hAnsi="仿宋" w:eastAsia="仿宋" w:cs="仿宋"/>
                <w:bCs/>
                <w:color w:val="auto"/>
                <w:sz w:val="21"/>
                <w:szCs w:val="21"/>
                <w:highlight w:val="none"/>
              </w:rPr>
            </w:pPr>
          </w:p>
        </w:tc>
        <w:tc>
          <w:tcPr>
            <w:tcW w:w="390" w:type="pct"/>
            <w:tcBorders>
              <w:top w:val="nil"/>
              <w:left w:val="nil"/>
              <w:bottom w:val="single" w:color="auto" w:sz="4" w:space="0"/>
              <w:right w:val="single" w:color="auto" w:sz="4" w:space="0"/>
            </w:tcBorders>
            <w:noWrap/>
            <w:vAlign w:val="center"/>
          </w:tcPr>
          <w:p w14:paraId="739CBBFC">
            <w:pPr>
              <w:jc w:val="center"/>
              <w:rPr>
                <w:rFonts w:ascii="仿宋" w:hAnsi="仿宋" w:eastAsia="仿宋" w:cs="仿宋"/>
                <w:bCs/>
                <w:color w:val="auto"/>
                <w:sz w:val="21"/>
                <w:szCs w:val="21"/>
                <w:highlight w:val="none"/>
              </w:rPr>
            </w:pPr>
          </w:p>
        </w:tc>
        <w:tc>
          <w:tcPr>
            <w:tcW w:w="370" w:type="pct"/>
            <w:tcBorders>
              <w:top w:val="nil"/>
              <w:left w:val="nil"/>
              <w:bottom w:val="single" w:color="auto" w:sz="4" w:space="0"/>
              <w:right w:val="single" w:color="auto" w:sz="4" w:space="0"/>
            </w:tcBorders>
            <w:noWrap/>
            <w:vAlign w:val="center"/>
          </w:tcPr>
          <w:p w14:paraId="6018CFDB">
            <w:pPr>
              <w:jc w:val="center"/>
              <w:rPr>
                <w:rFonts w:ascii="仿宋" w:hAnsi="仿宋" w:eastAsia="仿宋" w:cs="仿宋"/>
                <w:bCs/>
                <w:color w:val="auto"/>
                <w:sz w:val="21"/>
                <w:szCs w:val="21"/>
                <w:highlight w:val="none"/>
              </w:rPr>
            </w:pPr>
          </w:p>
        </w:tc>
        <w:tc>
          <w:tcPr>
            <w:tcW w:w="699" w:type="pct"/>
            <w:tcBorders>
              <w:top w:val="nil"/>
              <w:left w:val="nil"/>
              <w:bottom w:val="single" w:color="auto" w:sz="4" w:space="0"/>
              <w:right w:val="single" w:color="auto" w:sz="4" w:space="0"/>
            </w:tcBorders>
            <w:noWrap/>
            <w:vAlign w:val="center"/>
          </w:tcPr>
          <w:p w14:paraId="0BCA5EC7">
            <w:pPr>
              <w:widowControl/>
              <w:spacing w:line="360" w:lineRule="auto"/>
              <w:jc w:val="center"/>
              <w:rPr>
                <w:rFonts w:ascii="仿宋" w:hAnsi="仿宋" w:eastAsia="仿宋" w:cs="仿宋"/>
                <w:bCs/>
                <w:color w:val="auto"/>
                <w:sz w:val="21"/>
                <w:szCs w:val="21"/>
                <w:highlight w:val="none"/>
              </w:rPr>
            </w:pPr>
          </w:p>
        </w:tc>
        <w:tc>
          <w:tcPr>
            <w:tcW w:w="631" w:type="pct"/>
            <w:tcBorders>
              <w:top w:val="nil"/>
              <w:left w:val="nil"/>
              <w:bottom w:val="single" w:color="auto" w:sz="4" w:space="0"/>
              <w:right w:val="single" w:color="auto" w:sz="4" w:space="0"/>
            </w:tcBorders>
            <w:noWrap/>
            <w:vAlign w:val="center"/>
          </w:tcPr>
          <w:p w14:paraId="19DAAE75">
            <w:pPr>
              <w:widowControl/>
              <w:spacing w:line="360" w:lineRule="auto"/>
              <w:jc w:val="center"/>
              <w:rPr>
                <w:rFonts w:ascii="仿宋" w:hAnsi="仿宋" w:eastAsia="仿宋" w:cs="仿宋"/>
                <w:bCs/>
                <w:color w:val="auto"/>
                <w:sz w:val="21"/>
                <w:szCs w:val="21"/>
                <w:highlight w:val="none"/>
              </w:rPr>
            </w:pPr>
          </w:p>
        </w:tc>
      </w:tr>
      <w:tr w14:paraId="4F30A755">
        <w:tblPrEx>
          <w:tblCellMar>
            <w:top w:w="0" w:type="dxa"/>
            <w:left w:w="108" w:type="dxa"/>
            <w:bottom w:w="0" w:type="dxa"/>
            <w:right w:w="108" w:type="dxa"/>
          </w:tblCellMar>
        </w:tblPrEx>
        <w:trPr>
          <w:trHeight w:val="312" w:hRule="atLeast"/>
          <w:jc w:val="center"/>
        </w:trPr>
        <w:tc>
          <w:tcPr>
            <w:tcW w:w="726" w:type="pct"/>
            <w:tcBorders>
              <w:top w:val="nil"/>
              <w:left w:val="single" w:color="auto" w:sz="4" w:space="0"/>
              <w:bottom w:val="single" w:color="auto" w:sz="4" w:space="0"/>
              <w:right w:val="single" w:color="auto" w:sz="4" w:space="0"/>
            </w:tcBorders>
            <w:noWrap/>
            <w:vAlign w:val="center"/>
          </w:tcPr>
          <w:p w14:paraId="04121F44">
            <w:pPr>
              <w:widowControl/>
              <w:spacing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w:t>
            </w:r>
          </w:p>
        </w:tc>
        <w:tc>
          <w:tcPr>
            <w:tcW w:w="1153" w:type="pct"/>
            <w:gridSpan w:val="2"/>
            <w:tcBorders>
              <w:top w:val="nil"/>
              <w:left w:val="nil"/>
              <w:bottom w:val="single" w:color="auto" w:sz="4" w:space="0"/>
              <w:right w:val="single" w:color="auto" w:sz="4" w:space="0"/>
            </w:tcBorders>
            <w:noWrap/>
            <w:vAlign w:val="center"/>
          </w:tcPr>
          <w:p w14:paraId="6C667738">
            <w:pPr>
              <w:widowControl/>
              <w:spacing w:line="360" w:lineRule="auto"/>
              <w:jc w:val="center"/>
              <w:rPr>
                <w:rFonts w:hint="eastAsia"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452D22E5">
            <w:pPr>
              <w:widowControl/>
              <w:spacing w:line="360" w:lineRule="auto"/>
              <w:jc w:val="center"/>
              <w:rPr>
                <w:rFonts w:hint="eastAsia" w:ascii="仿宋" w:hAnsi="仿宋" w:eastAsia="仿宋" w:cs="仿宋"/>
                <w:bCs/>
                <w:color w:val="auto"/>
                <w:sz w:val="21"/>
                <w:szCs w:val="21"/>
                <w:highlight w:val="none"/>
              </w:rPr>
            </w:pPr>
          </w:p>
        </w:tc>
        <w:tc>
          <w:tcPr>
            <w:tcW w:w="390" w:type="pct"/>
            <w:tcBorders>
              <w:top w:val="nil"/>
              <w:left w:val="nil"/>
              <w:bottom w:val="single" w:color="auto" w:sz="4" w:space="0"/>
              <w:right w:val="single" w:color="auto" w:sz="4" w:space="0"/>
            </w:tcBorders>
            <w:noWrap/>
            <w:vAlign w:val="center"/>
          </w:tcPr>
          <w:p w14:paraId="3831AEFB">
            <w:pPr>
              <w:widowControl/>
              <w:spacing w:line="360" w:lineRule="auto"/>
              <w:jc w:val="center"/>
              <w:rPr>
                <w:rFonts w:hint="eastAsia" w:ascii="仿宋" w:hAnsi="仿宋" w:eastAsia="仿宋" w:cs="仿宋"/>
                <w:bCs/>
                <w:color w:val="auto"/>
                <w:sz w:val="21"/>
                <w:szCs w:val="21"/>
                <w:highlight w:val="none"/>
              </w:rPr>
            </w:pPr>
          </w:p>
        </w:tc>
        <w:tc>
          <w:tcPr>
            <w:tcW w:w="370" w:type="pct"/>
            <w:tcBorders>
              <w:top w:val="nil"/>
              <w:left w:val="nil"/>
              <w:bottom w:val="single" w:color="auto" w:sz="4" w:space="0"/>
              <w:right w:val="single" w:color="auto" w:sz="4" w:space="0"/>
            </w:tcBorders>
            <w:noWrap/>
            <w:vAlign w:val="center"/>
          </w:tcPr>
          <w:p w14:paraId="2A3902E6">
            <w:pPr>
              <w:widowControl/>
              <w:spacing w:line="360" w:lineRule="auto"/>
              <w:jc w:val="center"/>
              <w:rPr>
                <w:rFonts w:hint="eastAsia" w:ascii="仿宋" w:hAnsi="仿宋" w:eastAsia="仿宋" w:cs="仿宋"/>
                <w:bCs/>
                <w:color w:val="auto"/>
                <w:sz w:val="21"/>
                <w:szCs w:val="21"/>
                <w:highlight w:val="none"/>
              </w:rPr>
            </w:pPr>
          </w:p>
        </w:tc>
        <w:tc>
          <w:tcPr>
            <w:tcW w:w="699" w:type="pct"/>
            <w:tcBorders>
              <w:top w:val="nil"/>
              <w:left w:val="nil"/>
              <w:bottom w:val="single" w:color="auto" w:sz="4" w:space="0"/>
              <w:right w:val="single" w:color="auto" w:sz="4" w:space="0"/>
            </w:tcBorders>
            <w:noWrap/>
            <w:vAlign w:val="center"/>
          </w:tcPr>
          <w:p w14:paraId="3D172F6C">
            <w:pPr>
              <w:widowControl/>
              <w:spacing w:line="360" w:lineRule="auto"/>
              <w:jc w:val="center"/>
              <w:rPr>
                <w:rFonts w:hint="eastAsia" w:ascii="仿宋" w:hAnsi="仿宋" w:eastAsia="仿宋" w:cs="仿宋"/>
                <w:bCs/>
                <w:color w:val="auto"/>
                <w:sz w:val="21"/>
                <w:szCs w:val="21"/>
                <w:highlight w:val="none"/>
              </w:rPr>
            </w:pPr>
          </w:p>
        </w:tc>
        <w:tc>
          <w:tcPr>
            <w:tcW w:w="631" w:type="pct"/>
            <w:tcBorders>
              <w:top w:val="nil"/>
              <w:left w:val="nil"/>
              <w:bottom w:val="single" w:color="auto" w:sz="4" w:space="0"/>
              <w:right w:val="single" w:color="auto" w:sz="4" w:space="0"/>
            </w:tcBorders>
            <w:noWrap/>
            <w:vAlign w:val="center"/>
          </w:tcPr>
          <w:p w14:paraId="50F84690">
            <w:pPr>
              <w:widowControl/>
              <w:spacing w:line="360" w:lineRule="auto"/>
              <w:jc w:val="center"/>
              <w:rPr>
                <w:rFonts w:hint="eastAsia" w:ascii="仿宋" w:hAnsi="仿宋" w:eastAsia="仿宋" w:cs="仿宋"/>
                <w:bCs/>
                <w:color w:val="auto"/>
                <w:sz w:val="21"/>
                <w:szCs w:val="21"/>
                <w:highlight w:val="none"/>
              </w:rPr>
            </w:pPr>
          </w:p>
        </w:tc>
      </w:tr>
      <w:tr w14:paraId="52DA9175">
        <w:tblPrEx>
          <w:tblCellMar>
            <w:top w:w="0" w:type="dxa"/>
            <w:left w:w="108" w:type="dxa"/>
            <w:bottom w:w="0" w:type="dxa"/>
            <w:right w:w="108" w:type="dxa"/>
          </w:tblCellMar>
        </w:tblPrEx>
        <w:trPr>
          <w:trHeight w:val="624" w:hRule="atLeast"/>
          <w:jc w:val="center"/>
        </w:trPr>
        <w:tc>
          <w:tcPr>
            <w:tcW w:w="726" w:type="pct"/>
            <w:tcBorders>
              <w:top w:val="single" w:color="auto" w:sz="4" w:space="0"/>
              <w:left w:val="single" w:color="auto" w:sz="4" w:space="0"/>
              <w:bottom w:val="single" w:color="auto" w:sz="4" w:space="0"/>
              <w:right w:val="single" w:color="auto" w:sz="4" w:space="0"/>
            </w:tcBorders>
            <w:noWrap/>
            <w:vAlign w:val="center"/>
          </w:tcPr>
          <w:p w14:paraId="43A4EA67">
            <w:pPr>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eastAsia="zh-CN"/>
              </w:rPr>
              <w:t>谈判</w:t>
            </w:r>
            <w:r>
              <w:rPr>
                <w:rFonts w:hint="eastAsia" w:ascii="仿宋" w:hAnsi="仿宋" w:eastAsia="仿宋" w:cs="仿宋"/>
                <w:bCs/>
                <w:color w:val="auto"/>
                <w:sz w:val="21"/>
                <w:szCs w:val="21"/>
                <w:highlight w:val="none"/>
              </w:rPr>
              <w:t>总价</w:t>
            </w:r>
          </w:p>
        </w:tc>
        <w:tc>
          <w:tcPr>
            <w:tcW w:w="4273" w:type="pct"/>
            <w:gridSpan w:val="7"/>
            <w:tcBorders>
              <w:top w:val="single" w:color="auto" w:sz="4" w:space="0"/>
              <w:left w:val="nil"/>
              <w:bottom w:val="single" w:color="auto" w:sz="4" w:space="0"/>
              <w:right w:val="single" w:color="auto" w:sz="4" w:space="0"/>
            </w:tcBorders>
            <w:noWrap/>
            <w:vAlign w:val="center"/>
          </w:tcPr>
          <w:p w14:paraId="23D0D79C">
            <w:pP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人民币大写：               （小写：          元 ）</w:t>
            </w:r>
          </w:p>
        </w:tc>
      </w:tr>
    </w:tbl>
    <w:p w14:paraId="3693DE94">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注：1、</w:t>
      </w:r>
      <w:r>
        <w:rPr>
          <w:rFonts w:hint="eastAsia" w:ascii="仿宋" w:hAnsi="仿宋" w:eastAsia="仿宋" w:cs="仿宋"/>
          <w:color w:val="auto"/>
          <w:sz w:val="21"/>
          <w:szCs w:val="21"/>
          <w:highlight w:val="none"/>
          <w:lang w:val="en-US" w:eastAsia="zh-CN"/>
        </w:rPr>
        <w:t>供应商需根据采购标的数量自行添加行数</w:t>
      </w:r>
      <w:r>
        <w:rPr>
          <w:rFonts w:hint="eastAsia" w:ascii="仿宋" w:hAnsi="仿宋" w:eastAsia="仿宋" w:cs="仿宋"/>
          <w:color w:val="auto"/>
          <w:sz w:val="21"/>
          <w:szCs w:val="21"/>
          <w:highlight w:val="none"/>
          <w:lang w:eastAsia="zh-CN"/>
        </w:rPr>
        <w:t>。</w:t>
      </w:r>
    </w:p>
    <w:p w14:paraId="566B5458">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r>
        <w:rPr>
          <w:rFonts w:hint="eastAsia" w:ascii="仿宋" w:hAnsi="仿宋" w:eastAsia="仿宋" w:cs="仿宋"/>
          <w:b w:val="0"/>
          <w:bCs w:val="0"/>
          <w:color w:val="auto"/>
          <w:sz w:val="21"/>
          <w:szCs w:val="21"/>
          <w:highlight w:val="none"/>
          <w:lang w:val="zh-CN"/>
        </w:rPr>
        <w:t>此表作为</w:t>
      </w:r>
      <w:r>
        <w:rPr>
          <w:rFonts w:hint="eastAsia" w:ascii="仿宋" w:hAnsi="仿宋" w:eastAsia="仿宋" w:cs="仿宋"/>
          <w:b w:val="0"/>
          <w:bCs w:val="0"/>
          <w:color w:val="auto"/>
          <w:sz w:val="21"/>
          <w:szCs w:val="21"/>
          <w:highlight w:val="none"/>
        </w:rPr>
        <w:t>第一轮报价，在响应文件中提供。</w:t>
      </w:r>
    </w:p>
    <w:p w14:paraId="54732077">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3、报价应包括完成本项目的一切费用。</w:t>
      </w:r>
    </w:p>
    <w:p w14:paraId="023006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p>
    <w:p w14:paraId="73F0E8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7C02C2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8ACE5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8BD048F">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3D9C0659">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：采购项目技术内容条款应答表</w:t>
      </w:r>
    </w:p>
    <w:p w14:paraId="5F2427FA">
      <w:pPr>
        <w:widowControl/>
        <w:spacing w:line="400" w:lineRule="exact"/>
        <w:jc w:val="center"/>
        <w:rPr>
          <w:rFonts w:hint="eastAsia" w:ascii="仿宋" w:hAnsi="仿宋" w:eastAsia="仿宋" w:cs="仿宋"/>
          <w:color w:val="auto"/>
          <w:szCs w:val="21"/>
          <w:highlight w:val="none"/>
        </w:rPr>
      </w:pPr>
    </w:p>
    <w:p w14:paraId="7409C1D5">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采购项目技术内容条款</w:t>
      </w:r>
      <w:r>
        <w:rPr>
          <w:rFonts w:hint="eastAsia" w:ascii="仿宋" w:hAnsi="仿宋" w:eastAsia="仿宋" w:cs="仿宋"/>
          <w:color w:val="auto"/>
          <w:szCs w:val="21"/>
          <w:highlight w:val="none"/>
          <w:lang w:eastAsia="zh-CN"/>
        </w:rPr>
        <w:t>应答</w:t>
      </w:r>
      <w:r>
        <w:rPr>
          <w:rFonts w:hint="eastAsia" w:ascii="仿宋" w:hAnsi="仿宋" w:eastAsia="仿宋" w:cs="仿宋"/>
          <w:color w:val="auto"/>
          <w:szCs w:val="21"/>
          <w:highlight w:val="none"/>
        </w:rPr>
        <w:t>表</w:t>
      </w:r>
    </w:p>
    <w:p w14:paraId="687EBE17">
      <w:pPr>
        <w:pStyle w:val="76"/>
        <w:rPr>
          <w:rFonts w:hint="eastAsia"/>
          <w:color w:val="auto"/>
          <w:highlight w:val="none"/>
        </w:rPr>
      </w:pPr>
    </w:p>
    <w:tbl>
      <w:tblPr>
        <w:tblStyle w:val="2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2411"/>
        <w:gridCol w:w="2832"/>
      </w:tblGrid>
      <w:tr w14:paraId="6A30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450332FF">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谈判文件要求</w:t>
            </w:r>
          </w:p>
        </w:tc>
        <w:tc>
          <w:tcPr>
            <w:tcW w:w="2411" w:type="dxa"/>
            <w:shd w:val="clear" w:color="auto" w:fill="auto"/>
            <w:vAlign w:val="center"/>
          </w:tcPr>
          <w:p w14:paraId="0FF98403">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应答内容</w:t>
            </w:r>
          </w:p>
        </w:tc>
        <w:tc>
          <w:tcPr>
            <w:tcW w:w="2832" w:type="dxa"/>
            <w:shd w:val="clear" w:color="auto" w:fill="auto"/>
            <w:vAlign w:val="center"/>
          </w:tcPr>
          <w:p w14:paraId="32185919">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5C2E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4C48CC17">
            <w:pPr>
              <w:pStyle w:val="6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411" w:type="dxa"/>
            <w:shd w:val="clear" w:color="auto" w:fill="auto"/>
            <w:vAlign w:val="center"/>
          </w:tcPr>
          <w:p w14:paraId="43E62E20">
            <w:pPr>
              <w:pStyle w:val="60"/>
              <w:spacing w:line="400" w:lineRule="exact"/>
              <w:ind w:firstLine="0" w:firstLineChars="0"/>
              <w:rPr>
                <w:rFonts w:hint="eastAsia" w:ascii="仿宋" w:hAnsi="仿宋" w:eastAsia="仿宋" w:cs="仿宋"/>
                <w:color w:val="auto"/>
                <w:highlight w:val="none"/>
              </w:rPr>
            </w:pPr>
          </w:p>
        </w:tc>
        <w:tc>
          <w:tcPr>
            <w:tcW w:w="2832" w:type="dxa"/>
            <w:shd w:val="clear" w:color="auto" w:fill="auto"/>
            <w:vAlign w:val="center"/>
          </w:tcPr>
          <w:p w14:paraId="42AF27B4">
            <w:pPr>
              <w:pStyle w:val="60"/>
              <w:spacing w:line="400" w:lineRule="exact"/>
              <w:ind w:firstLine="0" w:firstLineChars="0"/>
              <w:rPr>
                <w:rFonts w:hint="eastAsia" w:ascii="仿宋" w:hAnsi="仿宋" w:eastAsia="仿宋" w:cs="仿宋"/>
                <w:color w:val="auto"/>
                <w:highlight w:val="none"/>
              </w:rPr>
            </w:pPr>
          </w:p>
        </w:tc>
      </w:tr>
    </w:tbl>
    <w:p w14:paraId="70A19A41">
      <w:pPr>
        <w:spacing w:line="400" w:lineRule="exact"/>
        <w:ind w:firstLine="420" w:firstLineChars="200"/>
        <w:rPr>
          <w:rFonts w:hint="eastAsia" w:ascii="仿宋" w:hAnsi="仿宋" w:eastAsia="仿宋" w:cs="仿宋"/>
          <w:color w:val="auto"/>
          <w:szCs w:val="21"/>
          <w:highlight w:val="none"/>
        </w:rPr>
      </w:pPr>
    </w:p>
    <w:p w14:paraId="64BF8C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37726C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6B067E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64EAEF7C">
      <w:pPr>
        <w:spacing w:line="400" w:lineRule="exact"/>
        <w:ind w:firstLine="420" w:firstLineChars="200"/>
        <w:rPr>
          <w:rFonts w:hint="eastAsia" w:ascii="仿宋" w:hAnsi="仿宋" w:eastAsia="仿宋" w:cs="仿宋"/>
          <w:color w:val="auto"/>
          <w:szCs w:val="21"/>
          <w:highlight w:val="none"/>
        </w:rPr>
      </w:pPr>
    </w:p>
    <w:p w14:paraId="3D0FF8E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说明：供应商必须根据谈判文件第五章要求据实逐条填写，不得虚假陈述。</w:t>
      </w:r>
    </w:p>
    <w:p w14:paraId="5F9F202B">
      <w:pPr>
        <w:widowControl/>
        <w:spacing w:line="400" w:lineRule="exact"/>
        <w:jc w:val="left"/>
        <w:rPr>
          <w:rFonts w:hint="eastAsia" w:ascii="仿宋" w:hAnsi="仿宋" w:eastAsia="仿宋" w:cs="仿宋"/>
          <w:color w:val="auto"/>
          <w:szCs w:val="21"/>
          <w:highlight w:val="none"/>
        </w:rPr>
      </w:pPr>
    </w:p>
    <w:p w14:paraId="1F51B312">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8E7D227">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8</w:t>
      </w:r>
      <w:r>
        <w:rPr>
          <w:rFonts w:hint="eastAsia" w:ascii="仿宋" w:hAnsi="仿宋" w:eastAsia="仿宋" w:cs="仿宋"/>
          <w:b/>
          <w:color w:val="auto"/>
          <w:szCs w:val="21"/>
          <w:highlight w:val="none"/>
        </w:rPr>
        <w:t>：采购项目</w:t>
      </w:r>
      <w:r>
        <w:rPr>
          <w:rFonts w:hint="eastAsia" w:ascii="仿宋" w:hAnsi="仿宋" w:eastAsia="仿宋" w:cs="仿宋"/>
          <w:b/>
          <w:color w:val="auto"/>
          <w:szCs w:val="21"/>
          <w:highlight w:val="none"/>
          <w:lang w:eastAsia="zh-CN"/>
        </w:rPr>
        <w:t>商务要求</w:t>
      </w:r>
      <w:r>
        <w:rPr>
          <w:rFonts w:hint="eastAsia" w:ascii="仿宋" w:hAnsi="仿宋" w:eastAsia="仿宋" w:cs="仿宋"/>
          <w:b/>
          <w:color w:val="auto"/>
          <w:szCs w:val="21"/>
          <w:highlight w:val="none"/>
        </w:rPr>
        <w:t>应答表</w:t>
      </w:r>
    </w:p>
    <w:p w14:paraId="3016E7EC">
      <w:pPr>
        <w:widowControl/>
        <w:spacing w:line="400" w:lineRule="exact"/>
        <w:jc w:val="center"/>
        <w:rPr>
          <w:rFonts w:hint="eastAsia" w:ascii="仿宋" w:hAnsi="仿宋" w:eastAsia="仿宋" w:cs="仿宋"/>
          <w:color w:val="auto"/>
          <w:szCs w:val="21"/>
          <w:highlight w:val="none"/>
        </w:rPr>
      </w:pPr>
    </w:p>
    <w:p w14:paraId="42FF659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w:t>
      </w:r>
      <w:r>
        <w:rPr>
          <w:rFonts w:hint="eastAsia" w:ascii="仿宋" w:hAnsi="仿宋" w:eastAsia="仿宋" w:cs="仿宋"/>
          <w:color w:val="auto"/>
          <w:szCs w:val="21"/>
          <w:highlight w:val="none"/>
          <w:lang w:eastAsia="zh-CN"/>
        </w:rPr>
        <w:t>商务要求应答</w:t>
      </w:r>
      <w:r>
        <w:rPr>
          <w:rFonts w:hint="eastAsia" w:ascii="仿宋" w:hAnsi="仿宋" w:eastAsia="仿宋" w:cs="仿宋"/>
          <w:color w:val="auto"/>
          <w:szCs w:val="21"/>
          <w:highlight w:val="none"/>
        </w:rPr>
        <w:t>表</w:t>
      </w:r>
    </w:p>
    <w:p w14:paraId="249EAB6B">
      <w:pPr>
        <w:pStyle w:val="76"/>
        <w:ind w:left="0" w:leftChars="0" w:firstLine="0" w:firstLineChars="0"/>
        <w:jc w:val="center"/>
        <w:rPr>
          <w:rFonts w:hint="eastAsia"/>
          <w:color w:val="auto"/>
          <w:highlight w:val="none"/>
        </w:rPr>
      </w:pPr>
    </w:p>
    <w:tbl>
      <w:tblPr>
        <w:tblStyle w:val="2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2411"/>
        <w:gridCol w:w="2832"/>
      </w:tblGrid>
      <w:tr w14:paraId="293E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2244A0E6">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谈判文件要求</w:t>
            </w:r>
          </w:p>
        </w:tc>
        <w:tc>
          <w:tcPr>
            <w:tcW w:w="2411" w:type="dxa"/>
            <w:shd w:val="clear" w:color="auto" w:fill="auto"/>
            <w:vAlign w:val="center"/>
          </w:tcPr>
          <w:p w14:paraId="19B91C94">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应答内容</w:t>
            </w:r>
          </w:p>
        </w:tc>
        <w:tc>
          <w:tcPr>
            <w:tcW w:w="2832" w:type="dxa"/>
            <w:shd w:val="clear" w:color="auto" w:fill="auto"/>
            <w:vAlign w:val="center"/>
          </w:tcPr>
          <w:p w14:paraId="34A69239">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6A0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1F47CF82">
            <w:pPr>
              <w:pStyle w:val="6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411" w:type="dxa"/>
            <w:shd w:val="clear" w:color="auto" w:fill="auto"/>
            <w:vAlign w:val="center"/>
          </w:tcPr>
          <w:p w14:paraId="5EF48DA8">
            <w:pPr>
              <w:pStyle w:val="60"/>
              <w:spacing w:line="400" w:lineRule="exact"/>
              <w:ind w:firstLine="0" w:firstLineChars="0"/>
              <w:rPr>
                <w:rFonts w:hint="eastAsia" w:ascii="仿宋" w:hAnsi="仿宋" w:eastAsia="仿宋" w:cs="仿宋"/>
                <w:color w:val="auto"/>
                <w:highlight w:val="none"/>
              </w:rPr>
            </w:pPr>
          </w:p>
        </w:tc>
        <w:tc>
          <w:tcPr>
            <w:tcW w:w="2832" w:type="dxa"/>
            <w:shd w:val="clear" w:color="auto" w:fill="auto"/>
            <w:vAlign w:val="center"/>
          </w:tcPr>
          <w:p w14:paraId="29B23AE3">
            <w:pPr>
              <w:pStyle w:val="60"/>
              <w:spacing w:line="400" w:lineRule="exact"/>
              <w:ind w:firstLine="0" w:firstLineChars="0"/>
              <w:rPr>
                <w:rFonts w:hint="eastAsia" w:ascii="仿宋" w:hAnsi="仿宋" w:eastAsia="仿宋" w:cs="仿宋"/>
                <w:color w:val="auto"/>
                <w:highlight w:val="none"/>
              </w:rPr>
            </w:pPr>
          </w:p>
        </w:tc>
      </w:tr>
    </w:tbl>
    <w:p w14:paraId="0097B02D">
      <w:pPr>
        <w:spacing w:line="400" w:lineRule="exact"/>
        <w:ind w:firstLine="420" w:firstLineChars="200"/>
        <w:rPr>
          <w:rFonts w:hint="eastAsia" w:ascii="仿宋" w:hAnsi="仿宋" w:eastAsia="仿宋" w:cs="仿宋"/>
          <w:color w:val="auto"/>
          <w:szCs w:val="21"/>
          <w:highlight w:val="none"/>
        </w:rPr>
      </w:pPr>
    </w:p>
    <w:p w14:paraId="060766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16E3E8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1920A6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CA0CCB0">
      <w:pPr>
        <w:spacing w:line="400" w:lineRule="exact"/>
        <w:ind w:firstLine="420" w:firstLineChars="200"/>
        <w:rPr>
          <w:rFonts w:hint="eastAsia" w:ascii="仿宋" w:hAnsi="仿宋" w:eastAsia="仿宋" w:cs="仿宋"/>
          <w:color w:val="auto"/>
          <w:szCs w:val="21"/>
          <w:highlight w:val="none"/>
        </w:rPr>
      </w:pPr>
    </w:p>
    <w:p w14:paraId="3C550D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说明：供应商必须根据谈判文件第五章要求据实逐条填写，不得虚假陈述。</w:t>
      </w:r>
    </w:p>
    <w:p w14:paraId="7AF2280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3F287DD7">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9</w:t>
      </w:r>
      <w:r>
        <w:rPr>
          <w:rFonts w:hint="eastAsia" w:ascii="仿宋" w:hAnsi="仿宋" w:eastAsia="仿宋" w:cs="仿宋"/>
          <w:b/>
          <w:color w:val="auto"/>
          <w:szCs w:val="21"/>
          <w:highlight w:val="none"/>
        </w:rPr>
        <w:t>：供应商类似项目业绩一览表</w:t>
      </w:r>
    </w:p>
    <w:p w14:paraId="4D4095D1">
      <w:pPr>
        <w:widowControl/>
        <w:spacing w:line="400" w:lineRule="exact"/>
        <w:jc w:val="center"/>
        <w:rPr>
          <w:rFonts w:hint="eastAsia" w:ascii="仿宋" w:hAnsi="仿宋" w:eastAsia="仿宋" w:cs="仿宋"/>
          <w:color w:val="auto"/>
          <w:szCs w:val="21"/>
          <w:highlight w:val="none"/>
        </w:rPr>
      </w:pPr>
    </w:p>
    <w:p w14:paraId="18528BE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供应商类似项目业绩一览表</w:t>
      </w:r>
    </w:p>
    <w:p w14:paraId="37A3557C">
      <w:pPr>
        <w:pStyle w:val="76"/>
        <w:ind w:left="0" w:leftChars="0" w:firstLine="0" w:firstLineChars="0"/>
        <w:jc w:val="center"/>
        <w:rPr>
          <w:rFonts w:hint="eastAsia"/>
          <w:color w:val="auto"/>
          <w:highlight w:val="none"/>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889"/>
        <w:gridCol w:w="1486"/>
        <w:gridCol w:w="2226"/>
        <w:gridCol w:w="1528"/>
        <w:gridCol w:w="1835"/>
        <w:gridCol w:w="1223"/>
      </w:tblGrid>
      <w:tr w14:paraId="2E84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tcPr>
          <w:p w14:paraId="3E443DB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46" w:type="pct"/>
            <w:shd w:val="clear" w:color="auto" w:fill="auto"/>
          </w:tcPr>
          <w:p w14:paraId="0E85829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746" w:type="pct"/>
            <w:shd w:val="clear" w:color="auto" w:fill="auto"/>
          </w:tcPr>
          <w:p w14:paraId="13B5BAF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1117" w:type="pct"/>
            <w:shd w:val="clear" w:color="auto" w:fill="auto"/>
          </w:tcPr>
          <w:p w14:paraId="7371AC0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合同主要标的</w:t>
            </w:r>
          </w:p>
        </w:tc>
        <w:tc>
          <w:tcPr>
            <w:tcW w:w="767" w:type="pct"/>
            <w:shd w:val="clear" w:color="auto" w:fill="auto"/>
          </w:tcPr>
          <w:p w14:paraId="7D7994B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验收时间</w:t>
            </w:r>
          </w:p>
        </w:tc>
        <w:tc>
          <w:tcPr>
            <w:tcW w:w="921" w:type="pct"/>
            <w:shd w:val="clear" w:color="auto" w:fill="auto"/>
          </w:tcPr>
          <w:p w14:paraId="09C0C86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合同金额</w:t>
            </w:r>
          </w:p>
        </w:tc>
        <w:tc>
          <w:tcPr>
            <w:tcW w:w="614" w:type="pct"/>
            <w:shd w:val="clear" w:color="auto" w:fill="auto"/>
          </w:tcPr>
          <w:p w14:paraId="6EE6223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6E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tcPr>
          <w:p w14:paraId="26E2C6E6">
            <w:pPr>
              <w:spacing w:line="400" w:lineRule="exact"/>
              <w:rPr>
                <w:rFonts w:hint="eastAsia" w:ascii="仿宋" w:hAnsi="仿宋" w:eastAsia="仿宋" w:cs="仿宋"/>
                <w:color w:val="auto"/>
                <w:szCs w:val="21"/>
                <w:highlight w:val="none"/>
              </w:rPr>
            </w:pPr>
          </w:p>
        </w:tc>
        <w:tc>
          <w:tcPr>
            <w:tcW w:w="446" w:type="pct"/>
            <w:shd w:val="clear" w:color="auto" w:fill="auto"/>
          </w:tcPr>
          <w:p w14:paraId="265CEB4E">
            <w:pPr>
              <w:spacing w:line="400" w:lineRule="exact"/>
              <w:rPr>
                <w:rFonts w:hint="eastAsia" w:ascii="仿宋" w:hAnsi="仿宋" w:eastAsia="仿宋" w:cs="仿宋"/>
                <w:color w:val="auto"/>
                <w:szCs w:val="21"/>
                <w:highlight w:val="none"/>
              </w:rPr>
            </w:pPr>
          </w:p>
        </w:tc>
        <w:tc>
          <w:tcPr>
            <w:tcW w:w="746" w:type="pct"/>
            <w:shd w:val="clear" w:color="auto" w:fill="auto"/>
          </w:tcPr>
          <w:p w14:paraId="0FA7CCAB">
            <w:pPr>
              <w:spacing w:line="400" w:lineRule="exact"/>
              <w:rPr>
                <w:rFonts w:hint="eastAsia" w:ascii="仿宋" w:hAnsi="仿宋" w:eastAsia="仿宋" w:cs="仿宋"/>
                <w:color w:val="auto"/>
                <w:szCs w:val="21"/>
                <w:highlight w:val="none"/>
              </w:rPr>
            </w:pPr>
          </w:p>
        </w:tc>
        <w:tc>
          <w:tcPr>
            <w:tcW w:w="1117" w:type="pct"/>
            <w:shd w:val="clear" w:color="auto" w:fill="auto"/>
          </w:tcPr>
          <w:p w14:paraId="605A3021">
            <w:pPr>
              <w:spacing w:line="400" w:lineRule="exact"/>
              <w:rPr>
                <w:rFonts w:hint="eastAsia" w:ascii="仿宋" w:hAnsi="仿宋" w:eastAsia="仿宋" w:cs="仿宋"/>
                <w:color w:val="auto"/>
                <w:szCs w:val="21"/>
                <w:highlight w:val="none"/>
              </w:rPr>
            </w:pPr>
          </w:p>
        </w:tc>
        <w:tc>
          <w:tcPr>
            <w:tcW w:w="767" w:type="pct"/>
            <w:shd w:val="clear" w:color="auto" w:fill="auto"/>
          </w:tcPr>
          <w:p w14:paraId="69EA284A">
            <w:pPr>
              <w:spacing w:line="400" w:lineRule="exact"/>
              <w:rPr>
                <w:rFonts w:hint="eastAsia" w:ascii="仿宋" w:hAnsi="仿宋" w:eastAsia="仿宋" w:cs="仿宋"/>
                <w:color w:val="auto"/>
                <w:szCs w:val="21"/>
                <w:highlight w:val="none"/>
              </w:rPr>
            </w:pPr>
          </w:p>
        </w:tc>
        <w:tc>
          <w:tcPr>
            <w:tcW w:w="921" w:type="pct"/>
            <w:shd w:val="clear" w:color="auto" w:fill="auto"/>
          </w:tcPr>
          <w:p w14:paraId="7539DDE3">
            <w:pPr>
              <w:spacing w:line="400" w:lineRule="exact"/>
              <w:rPr>
                <w:rFonts w:hint="eastAsia" w:ascii="仿宋" w:hAnsi="仿宋" w:eastAsia="仿宋" w:cs="仿宋"/>
                <w:color w:val="auto"/>
                <w:szCs w:val="21"/>
                <w:highlight w:val="none"/>
              </w:rPr>
            </w:pPr>
          </w:p>
        </w:tc>
        <w:tc>
          <w:tcPr>
            <w:tcW w:w="614" w:type="pct"/>
            <w:shd w:val="clear" w:color="auto" w:fill="auto"/>
          </w:tcPr>
          <w:p w14:paraId="30826672">
            <w:pPr>
              <w:spacing w:line="400" w:lineRule="exact"/>
              <w:rPr>
                <w:rFonts w:hint="eastAsia" w:ascii="仿宋" w:hAnsi="仿宋" w:eastAsia="仿宋" w:cs="仿宋"/>
                <w:color w:val="auto"/>
                <w:szCs w:val="21"/>
                <w:highlight w:val="none"/>
              </w:rPr>
            </w:pPr>
          </w:p>
        </w:tc>
      </w:tr>
    </w:tbl>
    <w:p w14:paraId="10D759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06E64E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654CB5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431CD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2C8487F8">
      <w:pPr>
        <w:widowControl/>
        <w:spacing w:line="400" w:lineRule="exact"/>
        <w:jc w:val="left"/>
        <w:rPr>
          <w:rFonts w:hint="eastAsia" w:ascii="仿宋" w:hAnsi="仿宋" w:eastAsia="仿宋" w:cs="仿宋"/>
          <w:color w:val="auto"/>
          <w:szCs w:val="21"/>
          <w:highlight w:val="none"/>
        </w:rPr>
      </w:pPr>
    </w:p>
    <w:p w14:paraId="7856259A">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76A7A4DC">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格式1</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rPr>
        <w:t>：供应商拟派本项目人员情况表</w:t>
      </w:r>
    </w:p>
    <w:p w14:paraId="7F977873">
      <w:pPr>
        <w:widowControl/>
        <w:spacing w:line="400" w:lineRule="exact"/>
        <w:jc w:val="center"/>
        <w:rPr>
          <w:rFonts w:hint="eastAsia" w:ascii="仿宋" w:hAnsi="仿宋" w:eastAsia="仿宋" w:cs="仿宋"/>
          <w:color w:val="auto"/>
          <w:szCs w:val="21"/>
          <w:highlight w:val="none"/>
        </w:rPr>
      </w:pPr>
    </w:p>
    <w:p w14:paraId="312D8BE6">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供应商拟派本项目人员情况表</w:t>
      </w:r>
    </w:p>
    <w:p w14:paraId="0C5D9D63">
      <w:pPr>
        <w:pStyle w:val="76"/>
        <w:ind w:left="0" w:leftChars="0" w:firstLine="0" w:firstLineChars="0"/>
        <w:jc w:val="center"/>
        <w:rPr>
          <w:rFonts w:hint="eastAsia"/>
          <w:color w:val="auto"/>
          <w:highlight w:val="none"/>
        </w:rPr>
      </w:pPr>
    </w:p>
    <w:tbl>
      <w:tblPr>
        <w:tblStyle w:val="29"/>
        <w:tblW w:w="5000" w:type="pct"/>
        <w:jc w:val="center"/>
        <w:tblLayout w:type="autofit"/>
        <w:tblCellMar>
          <w:top w:w="0" w:type="dxa"/>
          <w:left w:w="0" w:type="dxa"/>
          <w:bottom w:w="0" w:type="dxa"/>
          <w:right w:w="0" w:type="dxa"/>
        </w:tblCellMar>
      </w:tblPr>
      <w:tblGrid>
        <w:gridCol w:w="894"/>
        <w:gridCol w:w="1766"/>
        <w:gridCol w:w="1483"/>
        <w:gridCol w:w="1329"/>
        <w:gridCol w:w="1356"/>
        <w:gridCol w:w="1180"/>
        <w:gridCol w:w="1748"/>
      </w:tblGrid>
      <w:tr w14:paraId="5DD9EEBB">
        <w:tblPrEx>
          <w:tblCellMar>
            <w:top w:w="0" w:type="dxa"/>
            <w:left w:w="0" w:type="dxa"/>
            <w:bottom w:w="0" w:type="dxa"/>
            <w:right w:w="0" w:type="dxa"/>
          </w:tblCellMar>
        </w:tblPrEx>
        <w:trPr>
          <w:trHeight w:val="70" w:hRule="atLeast"/>
          <w:jc w:val="center"/>
        </w:trPr>
        <w:tc>
          <w:tcPr>
            <w:tcW w:w="458" w:type="pct"/>
            <w:vMerge w:val="restart"/>
            <w:tcBorders>
              <w:top w:val="single" w:color="auto" w:sz="4" w:space="0"/>
              <w:left w:val="single" w:color="auto" w:sz="4" w:space="0"/>
              <w:right w:val="single" w:color="auto" w:sz="4" w:space="0"/>
            </w:tcBorders>
            <w:vAlign w:val="center"/>
          </w:tcPr>
          <w:p w14:paraId="7F3A460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05" w:type="pct"/>
            <w:vMerge w:val="restart"/>
            <w:tcBorders>
              <w:top w:val="single" w:color="auto" w:sz="4" w:space="0"/>
              <w:left w:val="nil"/>
              <w:right w:val="single" w:color="auto" w:sz="4" w:space="0"/>
            </w:tcBorders>
            <w:vAlign w:val="center"/>
          </w:tcPr>
          <w:p w14:paraId="1B6A77A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60" w:type="pct"/>
            <w:vMerge w:val="restart"/>
            <w:tcBorders>
              <w:top w:val="single" w:color="auto" w:sz="4" w:space="0"/>
              <w:left w:val="nil"/>
              <w:right w:val="single" w:color="auto" w:sz="4" w:space="0"/>
            </w:tcBorders>
            <w:vAlign w:val="center"/>
          </w:tcPr>
          <w:p w14:paraId="3A74D2A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376" w:type="pct"/>
            <w:gridSpan w:val="2"/>
            <w:tcBorders>
              <w:top w:val="single" w:color="auto" w:sz="4" w:space="0"/>
              <w:left w:val="nil"/>
              <w:bottom w:val="single" w:color="auto" w:sz="4" w:space="0"/>
              <w:right w:val="single" w:color="auto" w:sz="4" w:space="0"/>
            </w:tcBorders>
            <w:vAlign w:val="center"/>
          </w:tcPr>
          <w:p w14:paraId="75DC2DBC">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执业或职业资格</w:t>
            </w:r>
          </w:p>
        </w:tc>
        <w:tc>
          <w:tcPr>
            <w:tcW w:w="1501" w:type="pct"/>
            <w:gridSpan w:val="2"/>
            <w:tcBorders>
              <w:top w:val="single" w:color="auto" w:sz="4" w:space="0"/>
              <w:left w:val="nil"/>
              <w:bottom w:val="single" w:color="auto" w:sz="4" w:space="0"/>
              <w:right w:val="single" w:color="auto" w:sz="4" w:space="0"/>
            </w:tcBorders>
            <w:vAlign w:val="center"/>
          </w:tcPr>
          <w:p w14:paraId="2979A49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r>
      <w:tr w14:paraId="6F164701">
        <w:tblPrEx>
          <w:tblCellMar>
            <w:top w:w="0" w:type="dxa"/>
            <w:left w:w="0" w:type="dxa"/>
            <w:bottom w:w="0" w:type="dxa"/>
            <w:right w:w="0" w:type="dxa"/>
          </w:tblCellMar>
        </w:tblPrEx>
        <w:trPr>
          <w:trHeight w:val="70" w:hRule="atLeast"/>
          <w:jc w:val="center"/>
        </w:trPr>
        <w:tc>
          <w:tcPr>
            <w:tcW w:w="458" w:type="pct"/>
            <w:vMerge w:val="continue"/>
            <w:tcBorders>
              <w:left w:val="single" w:color="auto" w:sz="4" w:space="0"/>
              <w:bottom w:val="single" w:color="auto" w:sz="4" w:space="0"/>
              <w:right w:val="single" w:color="auto" w:sz="4" w:space="0"/>
            </w:tcBorders>
            <w:vAlign w:val="center"/>
          </w:tcPr>
          <w:p w14:paraId="654D3741">
            <w:pPr>
              <w:spacing w:line="400" w:lineRule="exact"/>
              <w:jc w:val="center"/>
              <w:rPr>
                <w:rFonts w:hint="eastAsia" w:ascii="仿宋" w:hAnsi="仿宋" w:eastAsia="仿宋" w:cs="仿宋"/>
                <w:color w:val="auto"/>
                <w:szCs w:val="21"/>
                <w:highlight w:val="none"/>
              </w:rPr>
            </w:pPr>
          </w:p>
        </w:tc>
        <w:tc>
          <w:tcPr>
            <w:tcW w:w="905" w:type="pct"/>
            <w:vMerge w:val="continue"/>
            <w:tcBorders>
              <w:left w:val="nil"/>
              <w:bottom w:val="single" w:color="auto" w:sz="4" w:space="0"/>
              <w:right w:val="single" w:color="auto" w:sz="4" w:space="0"/>
            </w:tcBorders>
            <w:vAlign w:val="center"/>
          </w:tcPr>
          <w:p w14:paraId="2091BC01">
            <w:pPr>
              <w:spacing w:line="400" w:lineRule="exact"/>
              <w:jc w:val="center"/>
              <w:rPr>
                <w:rFonts w:hint="eastAsia" w:ascii="仿宋" w:hAnsi="仿宋" w:eastAsia="仿宋" w:cs="仿宋"/>
                <w:color w:val="auto"/>
                <w:szCs w:val="21"/>
                <w:highlight w:val="none"/>
              </w:rPr>
            </w:pPr>
          </w:p>
        </w:tc>
        <w:tc>
          <w:tcPr>
            <w:tcW w:w="760" w:type="pct"/>
            <w:vMerge w:val="continue"/>
            <w:tcBorders>
              <w:left w:val="nil"/>
              <w:bottom w:val="single" w:color="auto" w:sz="4" w:space="0"/>
              <w:right w:val="single" w:color="auto" w:sz="4" w:space="0"/>
            </w:tcBorders>
            <w:vAlign w:val="center"/>
          </w:tcPr>
          <w:p w14:paraId="597A374C">
            <w:pPr>
              <w:spacing w:line="400" w:lineRule="exact"/>
              <w:jc w:val="center"/>
              <w:rPr>
                <w:rFonts w:hint="eastAsia" w:ascii="仿宋" w:hAnsi="仿宋" w:eastAsia="仿宋" w:cs="仿宋"/>
                <w:color w:val="auto"/>
                <w:szCs w:val="21"/>
                <w:highlight w:val="none"/>
              </w:rPr>
            </w:pPr>
          </w:p>
        </w:tc>
        <w:tc>
          <w:tcPr>
            <w:tcW w:w="681" w:type="pct"/>
            <w:tcBorders>
              <w:top w:val="single" w:color="auto" w:sz="4" w:space="0"/>
              <w:left w:val="nil"/>
              <w:bottom w:val="single" w:color="auto" w:sz="4" w:space="0"/>
              <w:right w:val="single" w:color="auto" w:sz="4" w:space="0"/>
            </w:tcBorders>
            <w:vAlign w:val="center"/>
          </w:tcPr>
          <w:p w14:paraId="58E65D4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695" w:type="pct"/>
            <w:tcBorders>
              <w:top w:val="single" w:color="auto" w:sz="4" w:space="0"/>
              <w:left w:val="nil"/>
              <w:bottom w:val="single" w:color="auto" w:sz="4" w:space="0"/>
              <w:right w:val="single" w:color="auto" w:sz="4" w:space="0"/>
            </w:tcBorders>
            <w:vAlign w:val="center"/>
          </w:tcPr>
          <w:p w14:paraId="34899CD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证书编号</w:t>
            </w:r>
          </w:p>
        </w:tc>
        <w:tc>
          <w:tcPr>
            <w:tcW w:w="605" w:type="pct"/>
            <w:tcBorders>
              <w:top w:val="single" w:color="auto" w:sz="4" w:space="0"/>
              <w:left w:val="nil"/>
              <w:bottom w:val="single" w:color="auto" w:sz="4" w:space="0"/>
              <w:right w:val="single" w:color="auto" w:sz="4" w:space="0"/>
            </w:tcBorders>
            <w:vAlign w:val="center"/>
          </w:tcPr>
          <w:p w14:paraId="524D89B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职称专业</w:t>
            </w:r>
          </w:p>
        </w:tc>
        <w:tc>
          <w:tcPr>
            <w:tcW w:w="896" w:type="pct"/>
            <w:tcBorders>
              <w:top w:val="single" w:color="auto" w:sz="4" w:space="0"/>
              <w:left w:val="nil"/>
              <w:bottom w:val="single" w:color="auto" w:sz="4" w:space="0"/>
              <w:right w:val="single" w:color="auto" w:sz="4" w:space="0"/>
            </w:tcBorders>
            <w:vAlign w:val="center"/>
          </w:tcPr>
          <w:p w14:paraId="461FEDD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级别</w:t>
            </w:r>
          </w:p>
        </w:tc>
      </w:tr>
      <w:tr w14:paraId="7CF5239E">
        <w:tblPrEx>
          <w:tblCellMar>
            <w:top w:w="0" w:type="dxa"/>
            <w:left w:w="0" w:type="dxa"/>
            <w:bottom w:w="0" w:type="dxa"/>
            <w:right w:w="0" w:type="dxa"/>
          </w:tblCellMar>
        </w:tblPrEx>
        <w:trPr>
          <w:trHeight w:val="7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5954D8AA">
            <w:pPr>
              <w:spacing w:line="400" w:lineRule="exact"/>
              <w:jc w:val="center"/>
              <w:rPr>
                <w:rFonts w:hint="eastAsia" w:ascii="仿宋" w:hAnsi="仿宋" w:eastAsia="仿宋" w:cs="仿宋"/>
                <w:color w:val="auto"/>
                <w:szCs w:val="21"/>
                <w:highlight w:val="none"/>
              </w:rPr>
            </w:pPr>
          </w:p>
        </w:tc>
        <w:tc>
          <w:tcPr>
            <w:tcW w:w="905" w:type="pct"/>
            <w:tcBorders>
              <w:top w:val="single" w:color="auto" w:sz="4" w:space="0"/>
              <w:left w:val="nil"/>
              <w:bottom w:val="single" w:color="auto" w:sz="4" w:space="0"/>
              <w:right w:val="single" w:color="auto" w:sz="4" w:space="0"/>
            </w:tcBorders>
            <w:vAlign w:val="center"/>
          </w:tcPr>
          <w:p w14:paraId="6575BA5B">
            <w:pPr>
              <w:spacing w:line="400" w:lineRule="exact"/>
              <w:rPr>
                <w:rFonts w:hint="eastAsia" w:ascii="仿宋" w:hAnsi="仿宋" w:eastAsia="仿宋" w:cs="仿宋"/>
                <w:color w:val="auto"/>
                <w:szCs w:val="21"/>
                <w:highlight w:val="none"/>
              </w:rPr>
            </w:pPr>
          </w:p>
        </w:tc>
        <w:tc>
          <w:tcPr>
            <w:tcW w:w="760" w:type="pct"/>
            <w:tcBorders>
              <w:top w:val="single" w:color="auto" w:sz="4" w:space="0"/>
              <w:left w:val="nil"/>
              <w:bottom w:val="single" w:color="auto" w:sz="4" w:space="0"/>
              <w:right w:val="single" w:color="auto" w:sz="4" w:space="0"/>
            </w:tcBorders>
            <w:vAlign w:val="center"/>
          </w:tcPr>
          <w:p w14:paraId="42B4362C">
            <w:pPr>
              <w:spacing w:line="400" w:lineRule="exact"/>
              <w:jc w:val="center"/>
              <w:rPr>
                <w:rFonts w:hint="eastAsia" w:ascii="仿宋" w:hAnsi="仿宋" w:eastAsia="仿宋" w:cs="仿宋"/>
                <w:color w:val="auto"/>
                <w:szCs w:val="21"/>
                <w:highlight w:val="none"/>
              </w:rPr>
            </w:pPr>
          </w:p>
        </w:tc>
        <w:tc>
          <w:tcPr>
            <w:tcW w:w="681" w:type="pct"/>
            <w:tcBorders>
              <w:top w:val="single" w:color="auto" w:sz="4" w:space="0"/>
              <w:left w:val="nil"/>
              <w:bottom w:val="single" w:color="auto" w:sz="4" w:space="0"/>
              <w:right w:val="single" w:color="auto" w:sz="4" w:space="0"/>
            </w:tcBorders>
            <w:vAlign w:val="center"/>
          </w:tcPr>
          <w:p w14:paraId="2D9B201C">
            <w:pPr>
              <w:spacing w:line="400" w:lineRule="exact"/>
              <w:jc w:val="center"/>
              <w:rPr>
                <w:rFonts w:hint="eastAsia" w:ascii="仿宋" w:hAnsi="仿宋" w:eastAsia="仿宋" w:cs="仿宋"/>
                <w:color w:val="auto"/>
                <w:szCs w:val="21"/>
                <w:highlight w:val="none"/>
              </w:rPr>
            </w:pPr>
          </w:p>
        </w:tc>
        <w:tc>
          <w:tcPr>
            <w:tcW w:w="695" w:type="pct"/>
            <w:tcBorders>
              <w:top w:val="single" w:color="auto" w:sz="4" w:space="0"/>
              <w:left w:val="nil"/>
              <w:bottom w:val="single" w:color="auto" w:sz="4" w:space="0"/>
              <w:right w:val="single" w:color="auto" w:sz="4" w:space="0"/>
            </w:tcBorders>
            <w:vAlign w:val="center"/>
          </w:tcPr>
          <w:p w14:paraId="0D8B35FD">
            <w:pPr>
              <w:spacing w:line="400" w:lineRule="exact"/>
              <w:jc w:val="center"/>
              <w:rPr>
                <w:rFonts w:hint="eastAsia" w:ascii="仿宋" w:hAnsi="仿宋" w:eastAsia="仿宋" w:cs="仿宋"/>
                <w:color w:val="auto"/>
                <w:szCs w:val="21"/>
                <w:highlight w:val="none"/>
              </w:rPr>
            </w:pPr>
          </w:p>
        </w:tc>
        <w:tc>
          <w:tcPr>
            <w:tcW w:w="605" w:type="pct"/>
            <w:tcBorders>
              <w:top w:val="single" w:color="auto" w:sz="4" w:space="0"/>
              <w:left w:val="nil"/>
              <w:bottom w:val="single" w:color="auto" w:sz="4" w:space="0"/>
              <w:right w:val="single" w:color="auto" w:sz="4" w:space="0"/>
            </w:tcBorders>
            <w:vAlign w:val="center"/>
          </w:tcPr>
          <w:p w14:paraId="4B6EFA05">
            <w:pPr>
              <w:spacing w:line="400" w:lineRule="exact"/>
              <w:jc w:val="center"/>
              <w:rPr>
                <w:rFonts w:hint="eastAsia" w:ascii="仿宋" w:hAnsi="仿宋" w:eastAsia="仿宋" w:cs="仿宋"/>
                <w:color w:val="auto"/>
                <w:szCs w:val="21"/>
                <w:highlight w:val="none"/>
              </w:rPr>
            </w:pPr>
          </w:p>
        </w:tc>
        <w:tc>
          <w:tcPr>
            <w:tcW w:w="896" w:type="pct"/>
            <w:tcBorders>
              <w:top w:val="single" w:color="auto" w:sz="4" w:space="0"/>
              <w:left w:val="nil"/>
              <w:bottom w:val="single" w:color="auto" w:sz="4" w:space="0"/>
              <w:right w:val="single" w:color="auto" w:sz="4" w:space="0"/>
            </w:tcBorders>
          </w:tcPr>
          <w:p w14:paraId="6E501347">
            <w:pPr>
              <w:spacing w:line="400" w:lineRule="exact"/>
              <w:jc w:val="center"/>
              <w:rPr>
                <w:rFonts w:hint="eastAsia" w:ascii="仿宋" w:hAnsi="仿宋" w:eastAsia="仿宋" w:cs="仿宋"/>
                <w:color w:val="auto"/>
                <w:szCs w:val="21"/>
                <w:highlight w:val="none"/>
              </w:rPr>
            </w:pPr>
          </w:p>
        </w:tc>
      </w:tr>
    </w:tbl>
    <w:p w14:paraId="5D7C01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069A40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6946FC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E008F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263520B0">
      <w:pPr>
        <w:widowControl/>
        <w:spacing w:line="400" w:lineRule="exact"/>
        <w:jc w:val="left"/>
        <w:rPr>
          <w:rFonts w:hint="eastAsia" w:ascii="仿宋" w:hAnsi="仿宋" w:eastAsia="仿宋" w:cs="仿宋"/>
          <w:color w:val="auto"/>
          <w:szCs w:val="21"/>
          <w:highlight w:val="none"/>
        </w:rPr>
      </w:pPr>
    </w:p>
    <w:p w14:paraId="6C42EADF">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0A51DC2">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11</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val="en-US" w:eastAsia="zh-CN"/>
        </w:rPr>
        <w:t>最后</w:t>
      </w:r>
      <w:r>
        <w:rPr>
          <w:rFonts w:hint="eastAsia" w:ascii="仿宋" w:hAnsi="仿宋" w:eastAsia="仿宋" w:cs="仿宋"/>
          <w:b/>
          <w:color w:val="auto"/>
          <w:szCs w:val="21"/>
          <w:highlight w:val="none"/>
        </w:rPr>
        <w:t>报价一览表</w:t>
      </w:r>
    </w:p>
    <w:p w14:paraId="7577B52F">
      <w:pPr>
        <w:widowControl/>
        <w:spacing w:line="400" w:lineRule="exact"/>
        <w:jc w:val="center"/>
        <w:rPr>
          <w:rFonts w:hint="eastAsia" w:ascii="仿宋" w:hAnsi="仿宋" w:eastAsia="仿宋" w:cs="仿宋"/>
          <w:color w:val="auto"/>
          <w:szCs w:val="21"/>
          <w:highlight w:val="none"/>
        </w:rPr>
      </w:pPr>
    </w:p>
    <w:p w14:paraId="28DBDE57">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最后</w:t>
      </w:r>
      <w:r>
        <w:rPr>
          <w:rFonts w:hint="eastAsia" w:ascii="仿宋" w:hAnsi="仿宋" w:eastAsia="仿宋" w:cs="仿宋"/>
          <w:color w:val="auto"/>
          <w:szCs w:val="21"/>
          <w:highlight w:val="none"/>
        </w:rPr>
        <w:t>报价一览表</w:t>
      </w:r>
    </w:p>
    <w:p w14:paraId="401A0971">
      <w:pPr>
        <w:pStyle w:val="9"/>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w:t>
      </w:r>
    </w:p>
    <w:p w14:paraId="0D7E9C54">
      <w:pPr>
        <w:pStyle w:val="26"/>
        <w:ind w:firstLine="240"/>
        <w:rPr>
          <w:rFonts w:hint="eastAsia" w:ascii="仿宋" w:hAnsi="仿宋" w:eastAsia="仿宋" w:cs="仿宋"/>
          <w:color w:val="auto"/>
          <w:highlight w:val="none"/>
        </w:rPr>
      </w:pPr>
    </w:p>
    <w:p w14:paraId="32B0C300">
      <w:pPr>
        <w:pStyle w:val="26"/>
        <w:ind w:firstLine="240"/>
        <w:rPr>
          <w:rFonts w:hint="eastAsia" w:ascii="仿宋" w:hAnsi="仿宋" w:eastAsia="仿宋" w:cs="仿宋"/>
          <w:color w:val="auto"/>
          <w:highlight w:val="none"/>
        </w:rPr>
      </w:pPr>
    </w:p>
    <w:tbl>
      <w:tblPr>
        <w:tblStyle w:val="29"/>
        <w:tblW w:w="4986" w:type="pct"/>
        <w:jc w:val="center"/>
        <w:tblLayout w:type="autofit"/>
        <w:tblCellMar>
          <w:top w:w="0" w:type="dxa"/>
          <w:left w:w="108" w:type="dxa"/>
          <w:bottom w:w="0" w:type="dxa"/>
          <w:right w:w="108" w:type="dxa"/>
        </w:tblCellMar>
      </w:tblPr>
      <w:tblGrid>
        <w:gridCol w:w="1435"/>
        <w:gridCol w:w="4"/>
        <w:gridCol w:w="2255"/>
        <w:gridCol w:w="2043"/>
        <w:gridCol w:w="856"/>
        <w:gridCol w:w="751"/>
        <w:gridCol w:w="1272"/>
        <w:gridCol w:w="1310"/>
        <w:gridCol w:w="8"/>
      </w:tblGrid>
      <w:tr w14:paraId="06DB4BDC">
        <w:tblPrEx>
          <w:tblCellMar>
            <w:top w:w="0" w:type="dxa"/>
            <w:left w:w="108" w:type="dxa"/>
            <w:bottom w:w="0" w:type="dxa"/>
            <w:right w:w="108" w:type="dxa"/>
          </w:tblCellMar>
        </w:tblPrEx>
        <w:trPr>
          <w:trHeight w:val="624" w:hRule="atLeast"/>
          <w:jc w:val="center"/>
        </w:trPr>
        <w:tc>
          <w:tcPr>
            <w:tcW w:w="724" w:type="pct"/>
            <w:gridSpan w:val="2"/>
            <w:tcBorders>
              <w:top w:val="single" w:color="auto" w:sz="4" w:space="0"/>
              <w:left w:val="single" w:color="auto" w:sz="4" w:space="0"/>
              <w:bottom w:val="single" w:color="auto" w:sz="4" w:space="0"/>
              <w:right w:val="single" w:color="auto" w:sz="4" w:space="0"/>
            </w:tcBorders>
            <w:noWrap/>
            <w:vAlign w:val="center"/>
          </w:tcPr>
          <w:p w14:paraId="0DCBB0A2">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tc>
        <w:tc>
          <w:tcPr>
            <w:tcW w:w="4275" w:type="pct"/>
            <w:gridSpan w:val="7"/>
            <w:tcBorders>
              <w:top w:val="single" w:color="auto" w:sz="4" w:space="0"/>
              <w:left w:val="nil"/>
              <w:bottom w:val="single" w:color="auto" w:sz="4" w:space="0"/>
              <w:right w:val="single" w:color="auto" w:sz="4" w:space="0"/>
            </w:tcBorders>
            <w:noWrap/>
            <w:vAlign w:val="center"/>
          </w:tcPr>
          <w:p w14:paraId="3367ECBB">
            <w:pPr>
              <w:rPr>
                <w:rFonts w:ascii="仿宋" w:hAnsi="仿宋" w:eastAsia="仿宋" w:cs="仿宋"/>
                <w:bCs/>
                <w:color w:val="auto"/>
                <w:sz w:val="21"/>
                <w:szCs w:val="21"/>
                <w:highlight w:val="none"/>
              </w:rPr>
            </w:pPr>
          </w:p>
        </w:tc>
      </w:tr>
      <w:tr w14:paraId="73EA9664">
        <w:tblPrEx>
          <w:tblCellMar>
            <w:top w:w="0" w:type="dxa"/>
            <w:left w:w="108" w:type="dxa"/>
            <w:bottom w:w="0" w:type="dxa"/>
            <w:right w:w="108" w:type="dxa"/>
          </w:tblCellMar>
        </w:tblPrEx>
        <w:trPr>
          <w:trHeight w:val="624" w:hRule="atLeast"/>
          <w:jc w:val="center"/>
        </w:trPr>
        <w:tc>
          <w:tcPr>
            <w:tcW w:w="724" w:type="pct"/>
            <w:gridSpan w:val="2"/>
            <w:tcBorders>
              <w:top w:val="single" w:color="auto" w:sz="4" w:space="0"/>
              <w:left w:val="single" w:color="auto" w:sz="4" w:space="0"/>
              <w:bottom w:val="single" w:color="auto" w:sz="4" w:space="0"/>
              <w:right w:val="single" w:color="auto" w:sz="4" w:space="0"/>
            </w:tcBorders>
            <w:noWrap/>
            <w:vAlign w:val="center"/>
          </w:tcPr>
          <w:p w14:paraId="2B404E8A">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项目编号</w:t>
            </w:r>
          </w:p>
        </w:tc>
        <w:tc>
          <w:tcPr>
            <w:tcW w:w="4275" w:type="pct"/>
            <w:gridSpan w:val="7"/>
            <w:tcBorders>
              <w:top w:val="single" w:color="auto" w:sz="4" w:space="0"/>
              <w:left w:val="nil"/>
              <w:bottom w:val="single" w:color="auto" w:sz="4" w:space="0"/>
              <w:right w:val="single" w:color="auto" w:sz="4" w:space="0"/>
            </w:tcBorders>
            <w:noWrap/>
            <w:vAlign w:val="center"/>
          </w:tcPr>
          <w:p w14:paraId="152B9C9A">
            <w:pPr>
              <w:rPr>
                <w:rFonts w:ascii="仿宋" w:hAnsi="仿宋" w:eastAsia="仿宋" w:cs="仿宋"/>
                <w:bCs/>
                <w:color w:val="auto"/>
                <w:sz w:val="21"/>
                <w:szCs w:val="21"/>
                <w:highlight w:val="none"/>
              </w:rPr>
            </w:pPr>
          </w:p>
        </w:tc>
      </w:tr>
      <w:tr w14:paraId="37B3FE02">
        <w:tblPrEx>
          <w:tblCellMar>
            <w:top w:w="0" w:type="dxa"/>
            <w:left w:w="108" w:type="dxa"/>
            <w:bottom w:w="0" w:type="dxa"/>
            <w:right w:w="108" w:type="dxa"/>
          </w:tblCellMar>
        </w:tblPrEx>
        <w:trPr>
          <w:gridAfter w:val="1"/>
          <w:wAfter w:w="4" w:type="pct"/>
          <w:trHeight w:val="624" w:hRule="atLeast"/>
          <w:jc w:val="center"/>
        </w:trPr>
        <w:tc>
          <w:tcPr>
            <w:tcW w:w="722" w:type="pct"/>
            <w:tcBorders>
              <w:top w:val="nil"/>
              <w:left w:val="single" w:color="auto" w:sz="4" w:space="0"/>
              <w:bottom w:val="single" w:color="auto" w:sz="4" w:space="0"/>
              <w:right w:val="single" w:color="auto" w:sz="4" w:space="0"/>
            </w:tcBorders>
            <w:noWrap/>
            <w:vAlign w:val="center"/>
          </w:tcPr>
          <w:p w14:paraId="54090A55">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1137" w:type="pct"/>
            <w:gridSpan w:val="2"/>
            <w:tcBorders>
              <w:top w:val="nil"/>
              <w:left w:val="nil"/>
              <w:bottom w:val="single" w:color="auto" w:sz="4" w:space="0"/>
              <w:right w:val="single" w:color="auto" w:sz="4" w:space="0"/>
            </w:tcBorders>
            <w:noWrap/>
            <w:vAlign w:val="center"/>
          </w:tcPr>
          <w:p w14:paraId="19E0BDE2">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采购标的</w:t>
            </w:r>
          </w:p>
        </w:tc>
        <w:tc>
          <w:tcPr>
            <w:tcW w:w="1028" w:type="pct"/>
            <w:tcBorders>
              <w:top w:val="nil"/>
              <w:left w:val="nil"/>
              <w:bottom w:val="single" w:color="auto" w:sz="4" w:space="0"/>
              <w:right w:val="single" w:color="auto" w:sz="4" w:space="0"/>
            </w:tcBorders>
            <w:noWrap/>
            <w:vAlign w:val="center"/>
          </w:tcPr>
          <w:p w14:paraId="780F2323">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服务期限</w:t>
            </w:r>
          </w:p>
        </w:tc>
        <w:tc>
          <w:tcPr>
            <w:tcW w:w="431" w:type="pct"/>
            <w:tcBorders>
              <w:top w:val="nil"/>
              <w:left w:val="nil"/>
              <w:bottom w:val="single" w:color="auto" w:sz="4" w:space="0"/>
              <w:right w:val="single" w:color="auto" w:sz="4" w:space="0"/>
            </w:tcBorders>
            <w:noWrap/>
            <w:vAlign w:val="center"/>
          </w:tcPr>
          <w:p w14:paraId="619E2C2C">
            <w:pPr>
              <w:pStyle w:val="75"/>
              <w:wordWrap w:val="0"/>
              <w:spacing w:line="320" w:lineRule="exact"/>
              <w:ind w:left="38"/>
              <w:jc w:val="center"/>
              <w:rPr>
                <w:rFonts w:hint="eastAsia" w:ascii="仿宋" w:hAnsi="仿宋" w:eastAsia="宋体"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rPr>
              <w:t>数量</w:t>
            </w:r>
          </w:p>
        </w:tc>
        <w:tc>
          <w:tcPr>
            <w:tcW w:w="378" w:type="pct"/>
            <w:tcBorders>
              <w:top w:val="nil"/>
              <w:left w:val="nil"/>
              <w:bottom w:val="single" w:color="auto" w:sz="4" w:space="0"/>
              <w:right w:val="single" w:color="auto" w:sz="4" w:space="0"/>
            </w:tcBorders>
            <w:noWrap/>
            <w:vAlign w:val="center"/>
          </w:tcPr>
          <w:p w14:paraId="2CB2A14A">
            <w:pPr>
              <w:pStyle w:val="75"/>
              <w:wordWrap w:val="0"/>
              <w:spacing w:line="320" w:lineRule="exact"/>
              <w:ind w:left="3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单位</w:t>
            </w:r>
          </w:p>
        </w:tc>
        <w:tc>
          <w:tcPr>
            <w:tcW w:w="640" w:type="pct"/>
            <w:tcBorders>
              <w:top w:val="nil"/>
              <w:left w:val="nil"/>
              <w:bottom w:val="single" w:color="auto" w:sz="4" w:space="0"/>
              <w:right w:val="single" w:color="auto" w:sz="4" w:space="0"/>
            </w:tcBorders>
            <w:noWrap/>
            <w:vAlign w:val="center"/>
          </w:tcPr>
          <w:p w14:paraId="24F98339">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单价</w:t>
            </w:r>
            <w:r>
              <w:rPr>
                <w:rFonts w:hint="eastAsia" w:ascii="仿宋" w:hAnsi="仿宋" w:eastAsia="仿宋" w:cs="仿宋"/>
                <w:bCs/>
                <w:color w:val="auto"/>
                <w:sz w:val="21"/>
                <w:szCs w:val="21"/>
                <w:highlight w:val="none"/>
              </w:rPr>
              <w:t>（元）</w:t>
            </w:r>
          </w:p>
        </w:tc>
        <w:tc>
          <w:tcPr>
            <w:tcW w:w="658" w:type="pct"/>
            <w:tcBorders>
              <w:top w:val="nil"/>
              <w:left w:val="nil"/>
              <w:bottom w:val="single" w:color="auto" w:sz="4" w:space="0"/>
              <w:right w:val="single" w:color="auto" w:sz="4" w:space="0"/>
            </w:tcBorders>
            <w:noWrap/>
            <w:vAlign w:val="center"/>
          </w:tcPr>
          <w:p w14:paraId="160302C2">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总价（元）</w:t>
            </w:r>
          </w:p>
        </w:tc>
      </w:tr>
      <w:tr w14:paraId="6AB4BD86">
        <w:tblPrEx>
          <w:tblCellMar>
            <w:top w:w="0" w:type="dxa"/>
            <w:left w:w="108" w:type="dxa"/>
            <w:bottom w:w="0" w:type="dxa"/>
            <w:right w:w="108" w:type="dxa"/>
          </w:tblCellMar>
        </w:tblPrEx>
        <w:trPr>
          <w:gridAfter w:val="1"/>
          <w:wAfter w:w="4" w:type="pct"/>
          <w:trHeight w:val="312" w:hRule="atLeast"/>
          <w:jc w:val="center"/>
        </w:trPr>
        <w:tc>
          <w:tcPr>
            <w:tcW w:w="722" w:type="pct"/>
            <w:tcBorders>
              <w:top w:val="nil"/>
              <w:left w:val="single" w:color="auto" w:sz="4" w:space="0"/>
              <w:bottom w:val="single" w:color="auto" w:sz="4" w:space="0"/>
              <w:right w:val="single" w:color="auto" w:sz="4" w:space="0"/>
            </w:tcBorders>
            <w:noWrap/>
            <w:vAlign w:val="center"/>
          </w:tcPr>
          <w:p w14:paraId="75C2C768">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1137" w:type="pct"/>
            <w:gridSpan w:val="2"/>
            <w:tcBorders>
              <w:top w:val="nil"/>
              <w:left w:val="nil"/>
              <w:bottom w:val="single" w:color="auto" w:sz="4" w:space="0"/>
              <w:right w:val="single" w:color="auto" w:sz="4" w:space="0"/>
            </w:tcBorders>
            <w:noWrap/>
            <w:vAlign w:val="center"/>
          </w:tcPr>
          <w:p w14:paraId="0E576D2F">
            <w:pPr>
              <w:jc w:val="center"/>
              <w:rPr>
                <w:rFonts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00001878">
            <w:pPr>
              <w:jc w:val="center"/>
              <w:rPr>
                <w:rFonts w:ascii="仿宋" w:hAnsi="仿宋" w:eastAsia="仿宋" w:cs="仿宋"/>
                <w:bCs/>
                <w:color w:val="auto"/>
                <w:sz w:val="21"/>
                <w:szCs w:val="21"/>
                <w:highlight w:val="none"/>
              </w:rPr>
            </w:pPr>
          </w:p>
        </w:tc>
        <w:tc>
          <w:tcPr>
            <w:tcW w:w="431" w:type="pct"/>
            <w:tcBorders>
              <w:top w:val="nil"/>
              <w:left w:val="nil"/>
              <w:bottom w:val="single" w:color="auto" w:sz="4" w:space="0"/>
              <w:right w:val="single" w:color="auto" w:sz="4" w:space="0"/>
            </w:tcBorders>
            <w:noWrap/>
            <w:vAlign w:val="center"/>
          </w:tcPr>
          <w:p w14:paraId="1BBDD50D">
            <w:pPr>
              <w:jc w:val="center"/>
              <w:rPr>
                <w:rFonts w:ascii="仿宋" w:hAnsi="仿宋" w:eastAsia="仿宋" w:cs="仿宋"/>
                <w:bCs/>
                <w:color w:val="auto"/>
                <w:sz w:val="21"/>
                <w:szCs w:val="21"/>
                <w:highlight w:val="none"/>
              </w:rPr>
            </w:pPr>
          </w:p>
        </w:tc>
        <w:tc>
          <w:tcPr>
            <w:tcW w:w="378" w:type="pct"/>
            <w:tcBorders>
              <w:top w:val="nil"/>
              <w:left w:val="nil"/>
              <w:bottom w:val="single" w:color="auto" w:sz="4" w:space="0"/>
              <w:right w:val="single" w:color="auto" w:sz="4" w:space="0"/>
            </w:tcBorders>
            <w:noWrap/>
            <w:vAlign w:val="center"/>
          </w:tcPr>
          <w:p w14:paraId="4B1C6667">
            <w:pPr>
              <w:jc w:val="center"/>
              <w:rPr>
                <w:rFonts w:ascii="仿宋" w:hAnsi="仿宋" w:eastAsia="仿宋" w:cs="仿宋"/>
                <w:bCs/>
                <w:color w:val="auto"/>
                <w:sz w:val="21"/>
                <w:szCs w:val="21"/>
                <w:highlight w:val="none"/>
              </w:rPr>
            </w:pPr>
          </w:p>
        </w:tc>
        <w:tc>
          <w:tcPr>
            <w:tcW w:w="640" w:type="pct"/>
            <w:tcBorders>
              <w:top w:val="nil"/>
              <w:left w:val="nil"/>
              <w:bottom w:val="single" w:color="auto" w:sz="4" w:space="0"/>
              <w:right w:val="single" w:color="auto" w:sz="4" w:space="0"/>
            </w:tcBorders>
            <w:noWrap/>
            <w:vAlign w:val="center"/>
          </w:tcPr>
          <w:p w14:paraId="1AD46FCA">
            <w:pPr>
              <w:widowControl/>
              <w:spacing w:line="360" w:lineRule="auto"/>
              <w:jc w:val="center"/>
              <w:rPr>
                <w:rFonts w:ascii="仿宋" w:hAnsi="仿宋" w:eastAsia="仿宋" w:cs="仿宋"/>
                <w:bCs/>
                <w:color w:val="auto"/>
                <w:sz w:val="21"/>
                <w:szCs w:val="21"/>
                <w:highlight w:val="none"/>
              </w:rPr>
            </w:pPr>
          </w:p>
        </w:tc>
        <w:tc>
          <w:tcPr>
            <w:tcW w:w="658" w:type="pct"/>
            <w:tcBorders>
              <w:top w:val="nil"/>
              <w:left w:val="nil"/>
              <w:bottom w:val="single" w:color="auto" w:sz="4" w:space="0"/>
              <w:right w:val="single" w:color="auto" w:sz="4" w:space="0"/>
            </w:tcBorders>
            <w:noWrap/>
            <w:vAlign w:val="center"/>
          </w:tcPr>
          <w:p w14:paraId="5AFA7CC7">
            <w:pPr>
              <w:widowControl/>
              <w:spacing w:line="360" w:lineRule="auto"/>
              <w:jc w:val="center"/>
              <w:rPr>
                <w:rFonts w:ascii="仿宋" w:hAnsi="仿宋" w:eastAsia="仿宋" w:cs="仿宋"/>
                <w:bCs/>
                <w:color w:val="auto"/>
                <w:sz w:val="21"/>
                <w:szCs w:val="21"/>
                <w:highlight w:val="none"/>
              </w:rPr>
            </w:pPr>
          </w:p>
        </w:tc>
      </w:tr>
      <w:tr w14:paraId="1833A1FB">
        <w:tblPrEx>
          <w:tblCellMar>
            <w:top w:w="0" w:type="dxa"/>
            <w:left w:w="108" w:type="dxa"/>
            <w:bottom w:w="0" w:type="dxa"/>
            <w:right w:w="108" w:type="dxa"/>
          </w:tblCellMar>
        </w:tblPrEx>
        <w:trPr>
          <w:gridAfter w:val="1"/>
          <w:wAfter w:w="4" w:type="pct"/>
          <w:trHeight w:val="312" w:hRule="atLeast"/>
          <w:jc w:val="center"/>
        </w:trPr>
        <w:tc>
          <w:tcPr>
            <w:tcW w:w="722" w:type="pct"/>
            <w:tcBorders>
              <w:top w:val="nil"/>
              <w:left w:val="single" w:color="auto" w:sz="4" w:space="0"/>
              <w:bottom w:val="single" w:color="auto" w:sz="4" w:space="0"/>
              <w:right w:val="single" w:color="auto" w:sz="4" w:space="0"/>
            </w:tcBorders>
            <w:noWrap/>
            <w:vAlign w:val="center"/>
          </w:tcPr>
          <w:p w14:paraId="2994026A">
            <w:pPr>
              <w:widowControl/>
              <w:spacing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w:t>
            </w:r>
          </w:p>
        </w:tc>
        <w:tc>
          <w:tcPr>
            <w:tcW w:w="1137" w:type="pct"/>
            <w:gridSpan w:val="2"/>
            <w:tcBorders>
              <w:top w:val="nil"/>
              <w:left w:val="nil"/>
              <w:bottom w:val="single" w:color="auto" w:sz="4" w:space="0"/>
              <w:right w:val="single" w:color="auto" w:sz="4" w:space="0"/>
            </w:tcBorders>
            <w:noWrap/>
            <w:vAlign w:val="center"/>
          </w:tcPr>
          <w:p w14:paraId="1BD3AA38">
            <w:pPr>
              <w:widowControl/>
              <w:spacing w:line="360" w:lineRule="auto"/>
              <w:jc w:val="center"/>
              <w:rPr>
                <w:rFonts w:hint="eastAsia"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02BF9087">
            <w:pPr>
              <w:widowControl/>
              <w:spacing w:line="360" w:lineRule="auto"/>
              <w:jc w:val="center"/>
              <w:rPr>
                <w:rFonts w:hint="eastAsia" w:ascii="仿宋" w:hAnsi="仿宋" w:eastAsia="仿宋" w:cs="仿宋"/>
                <w:bCs/>
                <w:color w:val="auto"/>
                <w:sz w:val="21"/>
                <w:szCs w:val="21"/>
                <w:highlight w:val="none"/>
              </w:rPr>
            </w:pPr>
          </w:p>
        </w:tc>
        <w:tc>
          <w:tcPr>
            <w:tcW w:w="431" w:type="pct"/>
            <w:tcBorders>
              <w:top w:val="nil"/>
              <w:left w:val="nil"/>
              <w:bottom w:val="single" w:color="auto" w:sz="4" w:space="0"/>
              <w:right w:val="single" w:color="auto" w:sz="4" w:space="0"/>
            </w:tcBorders>
            <w:noWrap/>
            <w:vAlign w:val="center"/>
          </w:tcPr>
          <w:p w14:paraId="0A1CFEF7">
            <w:pPr>
              <w:widowControl/>
              <w:spacing w:line="360" w:lineRule="auto"/>
              <w:jc w:val="center"/>
              <w:rPr>
                <w:rFonts w:hint="eastAsia" w:ascii="仿宋" w:hAnsi="仿宋" w:eastAsia="仿宋" w:cs="仿宋"/>
                <w:bCs/>
                <w:color w:val="auto"/>
                <w:sz w:val="21"/>
                <w:szCs w:val="21"/>
                <w:highlight w:val="none"/>
              </w:rPr>
            </w:pPr>
          </w:p>
        </w:tc>
        <w:tc>
          <w:tcPr>
            <w:tcW w:w="378" w:type="pct"/>
            <w:tcBorders>
              <w:top w:val="nil"/>
              <w:left w:val="nil"/>
              <w:bottom w:val="single" w:color="auto" w:sz="4" w:space="0"/>
              <w:right w:val="single" w:color="auto" w:sz="4" w:space="0"/>
            </w:tcBorders>
            <w:noWrap/>
            <w:vAlign w:val="center"/>
          </w:tcPr>
          <w:p w14:paraId="6ACB4B6D">
            <w:pPr>
              <w:widowControl/>
              <w:spacing w:line="360" w:lineRule="auto"/>
              <w:jc w:val="center"/>
              <w:rPr>
                <w:rFonts w:hint="eastAsia" w:ascii="仿宋" w:hAnsi="仿宋" w:eastAsia="仿宋" w:cs="仿宋"/>
                <w:bCs/>
                <w:color w:val="auto"/>
                <w:sz w:val="21"/>
                <w:szCs w:val="21"/>
                <w:highlight w:val="none"/>
              </w:rPr>
            </w:pPr>
          </w:p>
        </w:tc>
        <w:tc>
          <w:tcPr>
            <w:tcW w:w="640" w:type="pct"/>
            <w:tcBorders>
              <w:top w:val="nil"/>
              <w:left w:val="nil"/>
              <w:bottom w:val="single" w:color="auto" w:sz="4" w:space="0"/>
              <w:right w:val="single" w:color="auto" w:sz="4" w:space="0"/>
            </w:tcBorders>
            <w:noWrap/>
            <w:vAlign w:val="center"/>
          </w:tcPr>
          <w:p w14:paraId="30B9D73E">
            <w:pPr>
              <w:widowControl/>
              <w:spacing w:line="360" w:lineRule="auto"/>
              <w:jc w:val="center"/>
              <w:rPr>
                <w:rFonts w:hint="eastAsia" w:ascii="仿宋" w:hAnsi="仿宋" w:eastAsia="仿宋" w:cs="仿宋"/>
                <w:bCs/>
                <w:color w:val="auto"/>
                <w:sz w:val="21"/>
                <w:szCs w:val="21"/>
                <w:highlight w:val="none"/>
              </w:rPr>
            </w:pPr>
          </w:p>
        </w:tc>
        <w:tc>
          <w:tcPr>
            <w:tcW w:w="658" w:type="pct"/>
            <w:tcBorders>
              <w:top w:val="nil"/>
              <w:left w:val="nil"/>
              <w:bottom w:val="single" w:color="auto" w:sz="4" w:space="0"/>
              <w:right w:val="single" w:color="auto" w:sz="4" w:space="0"/>
            </w:tcBorders>
            <w:noWrap/>
            <w:vAlign w:val="center"/>
          </w:tcPr>
          <w:p w14:paraId="06F3E096">
            <w:pPr>
              <w:widowControl/>
              <w:spacing w:line="360" w:lineRule="auto"/>
              <w:jc w:val="center"/>
              <w:rPr>
                <w:rFonts w:hint="eastAsia" w:ascii="仿宋" w:hAnsi="仿宋" w:eastAsia="仿宋" w:cs="仿宋"/>
                <w:bCs/>
                <w:color w:val="auto"/>
                <w:sz w:val="21"/>
                <w:szCs w:val="21"/>
                <w:highlight w:val="none"/>
              </w:rPr>
            </w:pPr>
          </w:p>
        </w:tc>
      </w:tr>
      <w:tr w14:paraId="3E1A7BD0">
        <w:tblPrEx>
          <w:tblCellMar>
            <w:top w:w="0" w:type="dxa"/>
            <w:left w:w="108" w:type="dxa"/>
            <w:bottom w:w="0" w:type="dxa"/>
            <w:right w:w="108" w:type="dxa"/>
          </w:tblCellMar>
        </w:tblPrEx>
        <w:trPr>
          <w:gridAfter w:val="1"/>
          <w:wAfter w:w="4" w:type="pct"/>
          <w:trHeight w:val="624" w:hRule="atLeast"/>
          <w:jc w:val="center"/>
        </w:trPr>
        <w:tc>
          <w:tcPr>
            <w:tcW w:w="722" w:type="pct"/>
            <w:tcBorders>
              <w:top w:val="single" w:color="auto" w:sz="4" w:space="0"/>
              <w:left w:val="single" w:color="auto" w:sz="4" w:space="0"/>
              <w:bottom w:val="single" w:color="auto" w:sz="4" w:space="0"/>
              <w:right w:val="single" w:color="auto" w:sz="4" w:space="0"/>
            </w:tcBorders>
            <w:noWrap/>
            <w:vAlign w:val="center"/>
          </w:tcPr>
          <w:p w14:paraId="243EB8ED">
            <w:pPr>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eastAsia="zh-CN"/>
              </w:rPr>
              <w:t>谈判</w:t>
            </w:r>
            <w:r>
              <w:rPr>
                <w:rFonts w:hint="eastAsia" w:ascii="仿宋" w:hAnsi="仿宋" w:eastAsia="仿宋" w:cs="仿宋"/>
                <w:bCs/>
                <w:color w:val="auto"/>
                <w:sz w:val="21"/>
                <w:szCs w:val="21"/>
                <w:highlight w:val="none"/>
              </w:rPr>
              <w:t>总价</w:t>
            </w:r>
          </w:p>
        </w:tc>
        <w:tc>
          <w:tcPr>
            <w:tcW w:w="4273" w:type="pct"/>
            <w:gridSpan w:val="7"/>
            <w:tcBorders>
              <w:top w:val="single" w:color="auto" w:sz="4" w:space="0"/>
              <w:left w:val="nil"/>
              <w:bottom w:val="single" w:color="auto" w:sz="4" w:space="0"/>
              <w:right w:val="single" w:color="auto" w:sz="4" w:space="0"/>
            </w:tcBorders>
            <w:noWrap/>
            <w:vAlign w:val="center"/>
          </w:tcPr>
          <w:p w14:paraId="63C48C70">
            <w:pP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人民币大写：               （小写：          元 ）</w:t>
            </w:r>
          </w:p>
        </w:tc>
      </w:tr>
    </w:tbl>
    <w:p w14:paraId="4C0D15F4">
      <w:pPr>
        <w:keepNext w:val="0"/>
        <w:keepLines w:val="0"/>
        <w:pageBreakBefore w:val="0"/>
        <w:kinsoku/>
        <w:overflowPunct/>
        <w:topLinePunct w:val="0"/>
        <w:bidi w:val="0"/>
        <w:snapToGrid/>
        <w:spacing w:line="400" w:lineRule="exact"/>
        <w:ind w:firstLine="220" w:firstLineChars="100"/>
        <w:jc w:val="left"/>
        <w:textAlignment w:val="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注：1、</w:t>
      </w:r>
      <w:r>
        <w:rPr>
          <w:rFonts w:hint="eastAsia" w:ascii="仿宋" w:hAnsi="仿宋" w:eastAsia="仿宋" w:cs="仿宋"/>
          <w:color w:val="auto"/>
          <w:sz w:val="21"/>
          <w:szCs w:val="21"/>
          <w:highlight w:val="none"/>
          <w:lang w:val="en-US" w:eastAsia="zh-CN"/>
        </w:rPr>
        <w:t>供应商需根据采购标的数量自行添加行数</w:t>
      </w:r>
      <w:r>
        <w:rPr>
          <w:rFonts w:hint="eastAsia" w:ascii="仿宋" w:hAnsi="仿宋" w:eastAsia="仿宋" w:cs="仿宋"/>
          <w:color w:val="auto"/>
          <w:sz w:val="21"/>
          <w:szCs w:val="21"/>
          <w:highlight w:val="none"/>
          <w:lang w:eastAsia="zh-CN"/>
        </w:rPr>
        <w:t>。</w:t>
      </w:r>
    </w:p>
    <w:p w14:paraId="2A86B8C4">
      <w:pPr>
        <w:keepNext w:val="0"/>
        <w:keepLines w:val="0"/>
        <w:pageBreakBefore w:val="0"/>
        <w:kinsoku/>
        <w:overflowPunct/>
        <w:topLinePunct w:val="0"/>
        <w:bidi w:val="0"/>
        <w:snapToGrid/>
        <w:spacing w:line="400" w:lineRule="exact"/>
        <w:ind w:firstLine="660" w:firstLineChars="300"/>
        <w:jc w:val="left"/>
        <w:textAlignment w:val="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b/>
          <w:color w:val="auto"/>
          <w:sz w:val="22"/>
          <w:szCs w:val="22"/>
          <w:highlight w:val="none"/>
        </w:rPr>
        <w:t>此表不放在响应文件中</w:t>
      </w:r>
      <w:r>
        <w:rPr>
          <w:rFonts w:hint="eastAsia" w:ascii="仿宋" w:hAnsi="仿宋" w:eastAsia="仿宋" w:cs="仿宋"/>
          <w:color w:val="auto"/>
          <w:sz w:val="22"/>
          <w:szCs w:val="22"/>
          <w:highlight w:val="none"/>
        </w:rPr>
        <w:t>，请供应商提前盖章留存后在资格性与有效性审查结束并通过后，</w:t>
      </w:r>
      <w:r>
        <w:rPr>
          <w:rFonts w:hint="eastAsia" w:ascii="仿宋" w:hAnsi="仿宋" w:eastAsia="仿宋" w:cs="仿宋"/>
          <w:b/>
          <w:bCs/>
          <w:color w:val="auto"/>
          <w:sz w:val="22"/>
          <w:szCs w:val="22"/>
          <w:highlight w:val="none"/>
        </w:rPr>
        <w:t>密封现场递交。</w:t>
      </w:r>
    </w:p>
    <w:p w14:paraId="2C69B4DA">
      <w:pPr>
        <w:keepNext w:val="0"/>
        <w:keepLines w:val="0"/>
        <w:pageBreakBefore w:val="0"/>
        <w:kinsoku/>
        <w:overflowPunct/>
        <w:topLinePunct w:val="0"/>
        <w:bidi w:val="0"/>
        <w:snapToGrid/>
        <w:spacing w:line="400" w:lineRule="exact"/>
        <w:ind w:firstLine="660" w:firstLineChars="300"/>
        <w:textAlignment w:val="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3、最后</w:t>
      </w:r>
      <w:r>
        <w:rPr>
          <w:rFonts w:hint="eastAsia" w:ascii="仿宋" w:hAnsi="仿宋" w:eastAsia="仿宋" w:cs="仿宋"/>
          <w:bCs/>
          <w:color w:val="auto"/>
          <w:sz w:val="22"/>
          <w:szCs w:val="22"/>
          <w:highlight w:val="none"/>
        </w:rPr>
        <w:t>报价</w:t>
      </w:r>
      <w:r>
        <w:rPr>
          <w:rFonts w:hint="eastAsia" w:ascii="仿宋" w:hAnsi="仿宋" w:eastAsia="仿宋" w:cs="仿宋"/>
          <w:color w:val="auto"/>
          <w:sz w:val="22"/>
          <w:szCs w:val="22"/>
          <w:highlight w:val="none"/>
        </w:rPr>
        <w:t>应包括完成本项目的一切费用。</w:t>
      </w:r>
    </w:p>
    <w:p w14:paraId="74F680D7">
      <w:pPr>
        <w:keepNext w:val="0"/>
        <w:keepLines w:val="0"/>
        <w:pageBreakBefore w:val="0"/>
        <w:kinsoku/>
        <w:overflowPunct/>
        <w:topLinePunct w:val="0"/>
        <w:bidi w:val="0"/>
        <w:snapToGrid/>
        <w:spacing w:line="400" w:lineRule="exact"/>
        <w:ind w:firstLine="660" w:firstLineChars="3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4、最后报价一览表应当签字（或盖章）确认或者加盖公章。</w:t>
      </w:r>
    </w:p>
    <w:p w14:paraId="6D05D04B">
      <w:pPr>
        <w:pStyle w:val="76"/>
        <w:rPr>
          <w:rFonts w:hint="eastAsia" w:ascii="仿宋" w:hAnsi="仿宋" w:eastAsia="仿宋" w:cs="仿宋"/>
          <w:color w:val="auto"/>
          <w:sz w:val="22"/>
          <w:szCs w:val="22"/>
          <w:highlight w:val="none"/>
        </w:rPr>
      </w:pPr>
    </w:p>
    <w:p w14:paraId="670C25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501F91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6509B2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5961755">
      <w:pPr>
        <w:rPr>
          <w:color w:val="auto"/>
          <w:highlight w:val="none"/>
        </w:rPr>
      </w:pPr>
    </w:p>
    <w:p w14:paraId="29F22C6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3B47DC0B">
      <w:pPr>
        <w:pStyle w:val="2"/>
        <w:spacing w:line="240" w:lineRule="auto"/>
        <w:jc w:val="center"/>
        <w:rPr>
          <w:rFonts w:hint="eastAsia" w:ascii="仿宋" w:hAnsi="仿宋" w:eastAsia="仿宋" w:cs="仿宋"/>
          <w:color w:val="auto"/>
          <w:sz w:val="32"/>
          <w:szCs w:val="32"/>
          <w:highlight w:val="none"/>
        </w:rPr>
      </w:pPr>
      <w:bookmarkStart w:id="42" w:name="_Toc16507"/>
      <w:r>
        <w:rPr>
          <w:rFonts w:hint="eastAsia" w:ascii="仿宋" w:hAnsi="仿宋" w:eastAsia="仿宋" w:cs="仿宋"/>
          <w:color w:val="auto"/>
          <w:sz w:val="32"/>
          <w:szCs w:val="32"/>
          <w:highlight w:val="none"/>
        </w:rPr>
        <w:t xml:space="preserve">第八章  </w:t>
      </w:r>
      <w:bookmarkEnd w:id="33"/>
      <w:bookmarkEnd w:id="41"/>
      <w:r>
        <w:rPr>
          <w:rFonts w:hint="eastAsia" w:ascii="仿宋" w:hAnsi="仿宋" w:eastAsia="仿宋" w:cs="仿宋"/>
          <w:color w:val="auto"/>
          <w:sz w:val="32"/>
          <w:szCs w:val="32"/>
          <w:highlight w:val="none"/>
        </w:rPr>
        <w:t>评审方法</w:t>
      </w:r>
      <w:bookmarkEnd w:id="42"/>
    </w:p>
    <w:p w14:paraId="054B5162">
      <w:pPr>
        <w:pStyle w:val="54"/>
        <w:numPr>
          <w:ilvl w:val="0"/>
          <w:numId w:val="2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总则</w:t>
      </w:r>
    </w:p>
    <w:p w14:paraId="1169372D">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根据本项目特点制定本评审办法。</w:t>
      </w:r>
    </w:p>
    <w:p w14:paraId="1440BADA">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谈判工作由采购代理机构负责组织，具体谈判由采购代理机构依法组建的谈判小组负责。</w:t>
      </w:r>
      <w:r>
        <w:rPr>
          <w:rFonts w:hint="eastAsia" w:ascii="仿宋" w:hAnsi="仿宋" w:eastAsia="仿宋" w:cs="仿宋"/>
          <w:color w:val="auto"/>
          <w:szCs w:val="21"/>
          <w:highlight w:val="none"/>
          <w:lang w:val="en-US" w:eastAsia="zh-CN"/>
        </w:rPr>
        <w:t>评审委员会由采购人代表和有关技术方面的专家组成。</w:t>
      </w:r>
    </w:p>
    <w:p w14:paraId="7127DF6C">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谈判工作应遵循公平、公正、科学及择优的原则，并以相同的谈判程序和标准对待所有的供应商。</w:t>
      </w:r>
    </w:p>
    <w:p w14:paraId="743B9B52">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评审委员会按照谈判文件规定的评审方法和标准进行评审，并独立履行下列职责：</w:t>
      </w:r>
    </w:p>
    <w:p w14:paraId="251119CA">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熟悉和理解谈判文件；</w:t>
      </w:r>
    </w:p>
    <w:p w14:paraId="56E0953A">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审查供应商响应文件等是否满足谈判文件要求，并作出评价；</w:t>
      </w:r>
    </w:p>
    <w:p w14:paraId="16475AFF">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根据需要要求采购单位对谈判文件作出解释；根据需要要求供应商对响应文件有关事项作出澄清、说明或者更正；</w:t>
      </w:r>
    </w:p>
    <w:p w14:paraId="250AAE62">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推荐成交候选供应商，或者受采购人委托确定成交供应商；</w:t>
      </w:r>
    </w:p>
    <w:p w14:paraId="59DABCC7">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起草评审报告并进行签署；</w:t>
      </w:r>
    </w:p>
    <w:p w14:paraId="715629F3">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向采购单位或者其他监督部门报告非法干预评审工作的行为；</w:t>
      </w:r>
    </w:p>
    <w:p w14:paraId="5572E26B">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法律、法规和规章规定的其他职责。</w:t>
      </w:r>
    </w:p>
    <w:p w14:paraId="15B905DF">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评审过程独立、保密。供应商非法干预评审过程的行为将导致其响应文件作为无效文件处理。</w:t>
      </w:r>
    </w:p>
    <w:p w14:paraId="20686FFA">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评审委员会评价响应文件的实质性，对于供应商人而言，除评审委员会要求其澄清、说明或者更正而提供的资料外，仅依据响应文件本身的内容，不寻求其他外部证据。</w:t>
      </w:r>
    </w:p>
    <w:p w14:paraId="520221E9">
      <w:pPr>
        <w:pStyle w:val="54"/>
        <w:numPr>
          <w:ilvl w:val="0"/>
          <w:numId w:val="2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评审方法</w:t>
      </w:r>
    </w:p>
    <w:p w14:paraId="780C1915">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本项目评审方法为：最低评标价法。</w:t>
      </w:r>
    </w:p>
    <w:p w14:paraId="27BD31B8">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最低评标价法是指响应文件满足竞争性谈判文件全部实质性要求且报价最低的供应商为成交供应商的评审方法。最低报价相同的，以抽签方式确定成交供应商；抽签顺序为供应商签到顺序。</w:t>
      </w:r>
    </w:p>
    <w:p w14:paraId="3D6F48D2">
      <w:pPr>
        <w:pStyle w:val="54"/>
        <w:numPr>
          <w:ilvl w:val="0"/>
          <w:numId w:val="2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评审程序</w:t>
      </w:r>
    </w:p>
    <w:p w14:paraId="61BAD3A7">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审查谈判文件和停止评审。</w:t>
      </w:r>
    </w:p>
    <w:p w14:paraId="76733FC2">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谈判小组正式评审前，应当对谈判文件进行熟悉和理解，内容主要包括谈判文件中供应商资格条件要求、采购项目技术、服务和商务要求、谈判办法和标准以及采购合同主要条款等。</w:t>
      </w:r>
    </w:p>
    <w:p w14:paraId="1A3EE7FE">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本谈判文件有下列情形之一的，谈判小组应当停止评审：</w:t>
      </w:r>
    </w:p>
    <w:p w14:paraId="121C6ED5">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（1）谈判文件的规定存在歧义、重大缺陷，导致评审无法进行的；</w:t>
      </w:r>
    </w:p>
    <w:p w14:paraId="47EB0B7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（2）谈判文件明显以不合理条件对供应商实行差别待遇或者歧视待遇的；</w:t>
      </w:r>
    </w:p>
    <w:p w14:paraId="004BAC2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）谈判文件载明的成交原则不合法的；</w:t>
      </w:r>
    </w:p>
    <w:p w14:paraId="606C688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）谈判文件有违反国家其他有关强制性规定的情形。</w:t>
      </w:r>
    </w:p>
    <w:p w14:paraId="05C71464">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出现本条3.1.2规定应当停止评审情形的，谈判小组应当向采购组织单位书面书面说明情况。除</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.1.2规定的情形外，谈判小组不得以任何方式和理由停止评审。</w:t>
      </w:r>
    </w:p>
    <w:p w14:paraId="17ED646E">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p w14:paraId="7DD10F05">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谈判小组依据法律法规和采购文件的规定，审查供应商是否具备谈判资格。</w:t>
      </w:r>
    </w:p>
    <w:p w14:paraId="747265F3">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资格审查结束后，谈判小组编制生成资格审查报告，向参加资格审查的供应商发出该供应商的资格审查结果，未通过资格审查的，应当一并告知理由。</w:t>
      </w:r>
    </w:p>
    <w:p w14:paraId="7A5AD0F0">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符合性审查</w:t>
      </w:r>
    </w:p>
    <w:p w14:paraId="7B7E2892">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谈判开始前，谈判小组对供应商首次提交的响应文件（包括报价）进行审查，审查内容为谈判文件不允许实质性变动的实质性要求，不符合实质性要求或应当作无效响应处理的，应当作无效响应处理。</w:t>
      </w:r>
    </w:p>
    <w:p w14:paraId="03747957">
      <w:pPr>
        <w:pStyle w:val="54"/>
        <w:keepNext w:val="0"/>
        <w:keepLines w:val="0"/>
        <w:pageBreakBefore w:val="0"/>
        <w:widowControl w:val="0"/>
        <w:numPr>
          <w:ilvl w:val="2"/>
          <w:numId w:val="21"/>
        </w:numPr>
        <w:kinsoku/>
        <w:wordWrap/>
        <w:overflowPunct/>
        <w:topLinePunct w:val="0"/>
        <w:autoSpaceDE/>
        <w:autoSpaceDN/>
        <w:bidi w:val="0"/>
        <w:adjustRightInd/>
        <w:snapToGrid/>
        <w:spacing w:line="380" w:lineRule="exact"/>
        <w:ind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响应文件报价出现前后不一致的，除谈判文件另有规定外，按照下列规定修正</w:t>
      </w:r>
      <w:r>
        <w:rPr>
          <w:rFonts w:hint="eastAsia" w:ascii="仿宋" w:hAnsi="仿宋" w:eastAsia="仿宋" w:cs="仿宋"/>
          <w:color w:val="auto"/>
          <w:szCs w:val="21"/>
          <w:highlight w:val="none"/>
        </w:rPr>
        <w:t>：</w:t>
      </w:r>
    </w:p>
    <w:p w14:paraId="7F096BB9">
      <w:pPr>
        <w:pStyle w:val="54"/>
        <w:keepNext w:val="0"/>
        <w:keepLines w:val="0"/>
        <w:pageBreakBefore w:val="0"/>
        <w:widowControl w:val="0"/>
        <w:numPr>
          <w:ilvl w:val="0"/>
          <w:numId w:val="22"/>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文件的大写金额和小写金额不一致的，以大写金额为准，但大写金额出现文字错误，导致金额无法判断的除外；</w:t>
      </w:r>
    </w:p>
    <w:p w14:paraId="7091C726">
      <w:pPr>
        <w:pStyle w:val="54"/>
        <w:keepNext w:val="0"/>
        <w:keepLines w:val="0"/>
        <w:pageBreakBefore w:val="0"/>
        <w:widowControl w:val="0"/>
        <w:numPr>
          <w:ilvl w:val="0"/>
          <w:numId w:val="22"/>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总价金额与按单价汇总金额不一致的，以单价汇总金额计算结果为准，但是单价金额出现计算错误、明显人为工作失误的除外；</w:t>
      </w:r>
    </w:p>
    <w:p w14:paraId="482AA369">
      <w:pPr>
        <w:pStyle w:val="54"/>
        <w:keepNext w:val="0"/>
        <w:keepLines w:val="0"/>
        <w:pageBreakBefore w:val="0"/>
        <w:widowControl w:val="0"/>
        <w:numPr>
          <w:ilvl w:val="0"/>
          <w:numId w:val="22"/>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单价金额小数点有明显错位的，应以总价为准，并修改单价；</w:t>
      </w:r>
    </w:p>
    <w:p w14:paraId="6646330A">
      <w:pPr>
        <w:pStyle w:val="54"/>
        <w:keepNext w:val="0"/>
        <w:keepLines w:val="0"/>
        <w:pageBreakBefore w:val="0"/>
        <w:widowControl w:val="0"/>
        <w:numPr>
          <w:ilvl w:val="0"/>
          <w:numId w:val="22"/>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对不同语言文本</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文件的解释发生异议的，以中文文本为准。</w:t>
      </w:r>
    </w:p>
    <w:p w14:paraId="2DE6E274">
      <w:pPr>
        <w:pStyle w:val="5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出现本条第（</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）项规定情形，单价汇总金额比总价金额高，且超过采购预算或者本项目最高限价的，供应商</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文件应作为无效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处理；单价汇总金额比总价金额高，但未超过采购预算或者本项目最高限价的，应以单价汇总金额作为价格</w:t>
      </w:r>
      <w:r>
        <w:rPr>
          <w:rFonts w:hint="eastAsia" w:ascii="仿宋" w:hAnsi="仿宋" w:eastAsia="仿宋" w:cs="仿宋"/>
          <w:color w:val="auto"/>
          <w:szCs w:val="21"/>
          <w:highlight w:val="none"/>
          <w:lang w:val="en-US" w:eastAsia="zh-CN"/>
        </w:rPr>
        <w:t>评审</w:t>
      </w:r>
      <w:r>
        <w:rPr>
          <w:rFonts w:hint="eastAsia" w:ascii="仿宋" w:hAnsi="仿宋" w:eastAsia="仿宋" w:cs="仿宋"/>
          <w:color w:val="auto"/>
          <w:szCs w:val="21"/>
          <w:highlight w:val="none"/>
        </w:rPr>
        <w:t>依据。</w:t>
      </w:r>
    </w:p>
    <w:p w14:paraId="4B60FFA4">
      <w:pPr>
        <w:pStyle w:val="5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修正后的报价经供应商确认后产生约束力，供应商不确认的，其响应文件作为无效处理。供应商确认采取书面方式并经供应商授权代表签字。谈判小组不得未经书面形式要求供应商确认，直接将供应商响应文件作为无效处理。</w:t>
      </w:r>
    </w:p>
    <w:p w14:paraId="72AF30B6">
      <w:pPr>
        <w:pStyle w:val="54"/>
        <w:keepNext w:val="0"/>
        <w:keepLines w:val="0"/>
        <w:pageBreakBefore w:val="0"/>
        <w:widowControl w:val="0"/>
        <w:numPr>
          <w:ilvl w:val="2"/>
          <w:numId w:val="21"/>
        </w:numPr>
        <w:kinsoku/>
        <w:wordWrap/>
        <w:overflowPunct/>
        <w:topLinePunct w:val="0"/>
        <w:autoSpaceDE/>
        <w:autoSpaceDN/>
        <w:bidi w:val="0"/>
        <w:adjustRightInd/>
        <w:snapToGrid/>
        <w:spacing w:line="380" w:lineRule="exact"/>
        <w:ind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谈判小组对所有响应文件进行审查后，确定参加谈判的供应商名单。</w:t>
      </w:r>
    </w:p>
    <w:p w14:paraId="29488E5F">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w:t>
      </w:r>
    </w:p>
    <w:p w14:paraId="24C420DA">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谈判小组通过交易系统与供应商分别进行一轮或多轮谈判，并给予所有参加谈判的供应商平等的谈判机会。谈判顺序</w:t>
      </w:r>
      <w:r>
        <w:rPr>
          <w:rFonts w:hint="eastAsia" w:ascii="仿宋" w:hAnsi="仿宋" w:eastAsia="仿宋" w:cs="仿宋"/>
          <w:color w:val="auto"/>
          <w:highlight w:val="none"/>
          <w:lang w:eastAsia="zh-CN"/>
        </w:rPr>
        <w:t>以供应商签到顺序为准</w:t>
      </w:r>
      <w:r>
        <w:rPr>
          <w:rFonts w:hint="eastAsia" w:ascii="仿宋" w:hAnsi="仿宋" w:eastAsia="仿宋" w:cs="仿宋"/>
          <w:color w:val="auto"/>
          <w:highlight w:val="none"/>
        </w:rPr>
        <w:t>。谈判过程中，谈判小组可以根据谈判情况调整谈判轮次。</w:t>
      </w:r>
    </w:p>
    <w:p w14:paraId="161FCDB9">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每轮谈判开始前，谈判小组应根据谈判文件的规定，并结合各供应商的响应文件拟定谈判内容。</w:t>
      </w:r>
    </w:p>
    <w:p w14:paraId="222332C7">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在谈判过程中，谈判小组在获得采购人代表确认的前提下，可以根据谈判文件</w:t>
      </w:r>
      <w:r>
        <w:rPr>
          <w:rFonts w:hint="eastAsia" w:ascii="仿宋" w:hAnsi="仿宋" w:eastAsia="仿宋" w:cs="仿宋"/>
          <w:color w:val="auto"/>
          <w:highlight w:val="none"/>
          <w:lang w:val="en-US" w:eastAsia="zh-CN"/>
        </w:rPr>
        <w:t>第五章、第九章</w:t>
      </w:r>
      <w:r>
        <w:rPr>
          <w:rFonts w:hint="eastAsia" w:ascii="仿宋" w:hAnsi="仿宋" w:eastAsia="仿宋" w:cs="仿宋"/>
          <w:color w:val="auto"/>
          <w:highlight w:val="none"/>
        </w:rPr>
        <w:t>规定的可实质性变动内容和谈判情况实质性变动谈判文件的技术、服务要求以及合同草案条款，但不得变动谈判文件中的其他内容。</w:t>
      </w:r>
    </w:p>
    <w:p w14:paraId="2D681275">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对谈判文件作出的实质性变动是谈判文件的有效组成部分，谈判小组应当及时以书面形式同时通知所有参加谈判的供应商。</w:t>
      </w:r>
    </w:p>
    <w:p w14:paraId="045052C1">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谈判过程中，谈判文件变动的，供应商应当按照谈判文件的变动情况和谈判小组的要求就谈判文件变动部分提交书面响应材料，并作为响应文件的组成部分。</w:t>
      </w:r>
    </w:p>
    <w:p w14:paraId="5F4261E5">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经最终谈判后，响应文件仍有下列情况之一的，应按照无效响应文件处理：</w:t>
      </w:r>
    </w:p>
    <w:p w14:paraId="4DA1A9B5">
      <w:pPr>
        <w:pStyle w:val="54"/>
        <w:numPr>
          <w:ilvl w:val="0"/>
          <w:numId w:val="23"/>
        </w:numPr>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响应文件仍不能实质响应谈判文件的实质性要求的；</w:t>
      </w:r>
    </w:p>
    <w:p w14:paraId="5E84A4F5">
      <w:pPr>
        <w:pStyle w:val="54"/>
        <w:numPr>
          <w:ilvl w:val="0"/>
          <w:numId w:val="23"/>
        </w:numPr>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响应文件中仍有谈判文件规定的其他无效响应情形的。</w:t>
      </w:r>
    </w:p>
    <w:p w14:paraId="5E5FEDD2">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谈判小组对供应商在谈判、评审过程中的书面交换材料，未按要求加盖</w:t>
      </w:r>
      <w:r>
        <w:rPr>
          <w:rFonts w:hint="eastAsia" w:ascii="仿宋" w:hAnsi="仿宋" w:eastAsia="仿宋" w:cs="仿宋"/>
          <w:color w:val="auto"/>
          <w:highlight w:val="none"/>
          <w:lang w:eastAsia="zh-CN"/>
        </w:rPr>
        <w:t>供应商公章</w:t>
      </w:r>
      <w:r>
        <w:rPr>
          <w:rFonts w:hint="eastAsia" w:ascii="仿宋" w:hAnsi="仿宋" w:eastAsia="仿宋" w:cs="仿宋"/>
          <w:color w:val="auto"/>
          <w:highlight w:val="none"/>
        </w:rPr>
        <w:t>或签字的，视同未提交书面交换材料。</w:t>
      </w:r>
    </w:p>
    <w:p w14:paraId="2469D959">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谈判小组在最终谈判后，对所有响应文件的有效性、完整性和响应程度进行审查后，确定最后报价的供应商名单。</w:t>
      </w:r>
    </w:p>
    <w:p w14:paraId="3EE53C29">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谈判过程中，谈判的任何一方不得透露与谈判有关的其他供应商的技术资料、价格和其他信息。</w:t>
      </w:r>
    </w:p>
    <w:p w14:paraId="03B9C776">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谈判过程中，谈判小组发现或者知晓供应商存在违法行为的，应当在谈判情况记录表中予以注明，并向</w:t>
      </w:r>
      <w:r>
        <w:rPr>
          <w:rFonts w:hint="eastAsia" w:ascii="仿宋" w:hAnsi="仿宋" w:eastAsia="仿宋" w:cs="仿宋"/>
          <w:color w:val="auto"/>
          <w:szCs w:val="21"/>
          <w:highlight w:val="none"/>
          <w:lang w:eastAsia="zh-CN"/>
        </w:rPr>
        <w:t>相关监管</w:t>
      </w:r>
      <w:r>
        <w:rPr>
          <w:rFonts w:hint="eastAsia" w:ascii="仿宋" w:hAnsi="仿宋" w:eastAsia="仿宋" w:cs="仿宋"/>
          <w:color w:val="auto"/>
          <w:szCs w:val="21"/>
          <w:highlight w:val="none"/>
        </w:rPr>
        <w:t>部门报告，依法应将该供应商响应文件作无效处理的，应当作无效处理。</w:t>
      </w:r>
    </w:p>
    <w:p w14:paraId="17E52114">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w:t>
      </w:r>
    </w:p>
    <w:p w14:paraId="41916DF0">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谈判结束后，谈判小组应当要求所有实质性响应的供应商在谈判小组要求时间内提交最后报价，提交最后报价的供应商不得少于3家。</w:t>
      </w:r>
    </w:p>
    <w:p w14:paraId="459D8FD1">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供应商在未提高响应文件中承诺的产品及其服务质量的情况下，其最后报价不得高于对该项目之前的报价，否则，谈判小组应当对其响应文件按无效处理，并书面告知供应商，说明理由。</w:t>
      </w:r>
    </w:p>
    <w:p w14:paraId="085BF00F">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供应商最后报价属于明显低价不正当竞争的，谈判小组应按照“须知前附表”规定处理。</w:t>
      </w:r>
    </w:p>
    <w:p w14:paraId="48773BCA">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参与最后报价的供应商按谈判小组要求进行最后报价。最后报价超过谈判文件规定的采购预算（或最高限价）或者相关报价不符合谈判文件其他的报价规定的，应按照无效响应文件处理。</w:t>
      </w:r>
    </w:p>
    <w:p w14:paraId="42400742">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供应商最后报价应当采取书面形式报价，最后报价是供应商响应文件的有效组成部分。</w:t>
      </w:r>
    </w:p>
    <w:p w14:paraId="2FAD4329">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澄清、说明、更正</w:t>
      </w:r>
    </w:p>
    <w:p w14:paraId="1DD3A4E3">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C93F79">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谈判小组要求供应商澄清、说明或者更正响应文件应当以书面形式作出，并加盖供应商的</w:t>
      </w:r>
      <w:r>
        <w:rPr>
          <w:rFonts w:hint="eastAsia" w:ascii="仿宋" w:hAnsi="仿宋" w:eastAsia="仿宋" w:cs="仿宋"/>
          <w:color w:val="auto"/>
          <w:szCs w:val="21"/>
          <w:highlight w:val="none"/>
          <w:lang w:eastAsia="zh-CN"/>
        </w:rPr>
        <w:t>公章</w:t>
      </w:r>
      <w:r>
        <w:rPr>
          <w:rFonts w:hint="eastAsia" w:ascii="仿宋" w:hAnsi="仿宋" w:eastAsia="仿宋" w:cs="仿宋"/>
          <w:color w:val="auto"/>
          <w:szCs w:val="21"/>
          <w:highlight w:val="none"/>
        </w:rPr>
        <w:t>。</w:t>
      </w:r>
    </w:p>
    <w:p w14:paraId="0E1DC393">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谈判小组复核。供应商最后报价结束后，谈判小组应当进行评审复核，对拟推荐为成交候选供应商的、报价最低的、供应商响应文件作无效处理的重点复核。</w:t>
      </w:r>
    </w:p>
    <w:p w14:paraId="41F145AB">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采购组织单位现场复核评审结果</w:t>
      </w:r>
    </w:p>
    <w:p w14:paraId="38A8DCE3">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推荐成交候选供应商后，谈判小组拟出具谈判报告前，采购代理机构应当组织2名以上的本单位工作人员，在采购现场监督人员的监督之下，依据有关的法律制度和谈判文件对评审结果进行复核，出具复核报告，存在价格计算错误的，采购代理机构应当根据情况书面建议谈判小组现场修改评审结果。由谈判小组自主决定是否采纳采购代理机构的书面建议，并承担独立评审责任。</w:t>
      </w:r>
    </w:p>
    <w:p w14:paraId="0B0A0179">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w:t>
      </w:r>
      <w:r>
        <w:rPr>
          <w:rFonts w:hint="eastAsia" w:ascii="仿宋" w:hAnsi="仿宋" w:eastAsia="仿宋" w:cs="仿宋"/>
          <w:color w:val="auto"/>
          <w:highlight w:val="none"/>
          <w:lang w:eastAsia="zh-CN"/>
        </w:rPr>
        <w:t>相关</w:t>
      </w:r>
      <w:r>
        <w:rPr>
          <w:rFonts w:hint="eastAsia" w:ascii="仿宋" w:hAnsi="仿宋" w:eastAsia="仿宋" w:cs="仿宋"/>
          <w:color w:val="auto"/>
          <w:highlight w:val="none"/>
        </w:rPr>
        <w:t>部门。</w:t>
      </w:r>
    </w:p>
    <w:p w14:paraId="2951B3ED">
      <w:pPr>
        <w:pStyle w:val="65"/>
        <w:numPr>
          <w:ilvl w:val="2"/>
          <w:numId w:val="21"/>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采购代理机构复核过程中，谈判小组成员不得离开评审现场</w:t>
      </w:r>
      <w:r>
        <w:rPr>
          <w:rFonts w:hint="eastAsia" w:ascii="仿宋" w:hAnsi="仿宋" w:eastAsia="仿宋" w:cs="仿宋"/>
          <w:color w:val="auto"/>
          <w:highlight w:val="none"/>
        </w:rPr>
        <w:t>。</w:t>
      </w:r>
    </w:p>
    <w:p w14:paraId="3F64A171">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编写谈判报告</w:t>
      </w:r>
    </w:p>
    <w:p w14:paraId="2B3F13B7">
      <w:pPr>
        <w:pStyle w:val="54"/>
        <w:keepNext w:val="0"/>
        <w:keepLines w:val="0"/>
        <w:pageBreakBefore w:val="0"/>
        <w:widowControl w:val="0"/>
        <w:numPr>
          <w:ilvl w:val="2"/>
          <w:numId w:val="21"/>
        </w:numPr>
        <w:kinsoku/>
        <w:wordWrap/>
        <w:overflowPunct/>
        <w:topLinePunct w:val="0"/>
        <w:autoSpaceDE/>
        <w:autoSpaceDN/>
        <w:bidi w:val="0"/>
        <w:adjustRightInd/>
        <w:snapToGrid/>
        <w:spacing w:line="380" w:lineRule="exact"/>
        <w:ind w:left="709" w:leftChars="0" w:hanging="709"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谈判小组推荐成交候选供应商后，应向采购代理机构出具谈判报告。谈判报告应当包括以下主要内容：</w:t>
      </w:r>
    </w:p>
    <w:p w14:paraId="0B0A272F">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邀请供应商参加采购活动的具体方式和相关情况；</w:t>
      </w:r>
    </w:p>
    <w:p w14:paraId="45F283EC">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响应文件开启日期和地点；</w:t>
      </w:r>
    </w:p>
    <w:p w14:paraId="1EFF2C69">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获取谈判文件的供应商名单和谈判小组成员名单；</w:t>
      </w:r>
    </w:p>
    <w:p w14:paraId="7416B2DB">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评审情况记录和说明，包括对供应商的资格审查情况、供应商响应文件审查情况、谈判情况、报价情况等；</w:t>
      </w:r>
    </w:p>
    <w:p w14:paraId="6B22C170">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提出的成交候选供应商的排序名单及理由。</w:t>
      </w:r>
    </w:p>
    <w:p w14:paraId="6F8CD3CF">
      <w:pPr>
        <w:pStyle w:val="54"/>
        <w:keepNext w:val="0"/>
        <w:keepLines w:val="0"/>
        <w:pageBreakBefore w:val="0"/>
        <w:widowControl w:val="0"/>
        <w:numPr>
          <w:ilvl w:val="2"/>
          <w:numId w:val="21"/>
        </w:numPr>
        <w:kinsoku/>
        <w:wordWrap/>
        <w:overflowPunct/>
        <w:topLinePunct w:val="0"/>
        <w:autoSpaceDE/>
        <w:autoSpaceDN/>
        <w:bidi w:val="0"/>
        <w:adjustRightInd/>
        <w:snapToGrid/>
        <w:spacing w:line="380" w:lineRule="exact"/>
        <w:ind w:left="709" w:leftChars="0" w:hanging="709" w:firstLineChars="0"/>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50945B56">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228865A0">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终止谈判采购活动。</w:t>
      </w:r>
    </w:p>
    <w:p w14:paraId="2AE8B28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出现下列情形之一的，采购人或者采购代理机构应当终止竞争性谈判采购活动，发布项目终止公告并说明原因，重新开展采购活动：</w:t>
      </w:r>
    </w:p>
    <w:p w14:paraId="1E05E2D1">
      <w:pPr>
        <w:numPr>
          <w:ilvl w:val="0"/>
          <w:numId w:val="25"/>
        </w:numPr>
        <w:spacing w:line="400" w:lineRule="exact"/>
        <w:ind w:left="425" w:leftChars="0" w:hanging="425"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因情况变化，不再符合规定的竞争性谈判采购方式适用情形的；</w:t>
      </w:r>
    </w:p>
    <w:p w14:paraId="107682AB">
      <w:pPr>
        <w:numPr>
          <w:ilvl w:val="0"/>
          <w:numId w:val="25"/>
        </w:numPr>
        <w:spacing w:line="400" w:lineRule="exact"/>
        <w:ind w:left="425" w:leftChars="0" w:hanging="425"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出现影响采购公正的违法、违规行为的；</w:t>
      </w:r>
    </w:p>
    <w:p w14:paraId="3AE68593">
      <w:pPr>
        <w:numPr>
          <w:ilvl w:val="0"/>
          <w:numId w:val="25"/>
        </w:numPr>
        <w:spacing w:line="400" w:lineRule="exact"/>
        <w:ind w:left="425" w:leftChars="0" w:hanging="425"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在采购过程中符合要求的供应商或者最后报价未超过采购预算的供应商不足3家的。</w:t>
      </w:r>
    </w:p>
    <w:p w14:paraId="1EE192BF">
      <w:pPr>
        <w:pStyle w:val="54"/>
        <w:numPr>
          <w:ilvl w:val="0"/>
          <w:numId w:val="21"/>
        </w:numPr>
        <w:spacing w:line="400" w:lineRule="exact"/>
        <w:ind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谈判小组在采购活动中承担以下义务：</w:t>
      </w:r>
    </w:p>
    <w:p w14:paraId="62741919">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遵守评审工作纪律；</w:t>
      </w:r>
    </w:p>
    <w:p w14:paraId="036C566D">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按照客观、公正、审慎的原则，根据谈判文件规定的评审程序、评审方法和评审标准进行独立评审；</w:t>
      </w:r>
    </w:p>
    <w:p w14:paraId="76B815B7">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不得泄露评审文件、评审情况和在评审过程中获悉的商业秘密；</w:t>
      </w:r>
    </w:p>
    <w:p w14:paraId="6C778219">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及时向</w:t>
      </w:r>
      <w:r>
        <w:rPr>
          <w:rFonts w:hint="eastAsia" w:ascii="仿宋" w:hAnsi="仿宋" w:eastAsia="仿宋" w:cs="仿宋"/>
          <w:b w:val="0"/>
          <w:bCs/>
          <w:color w:val="auto"/>
          <w:szCs w:val="21"/>
          <w:highlight w:val="none"/>
          <w:lang w:eastAsia="zh-CN"/>
        </w:rPr>
        <w:t>相关</w:t>
      </w:r>
      <w:r>
        <w:rPr>
          <w:rFonts w:hint="eastAsia" w:ascii="仿宋" w:hAnsi="仿宋" w:eastAsia="仿宋" w:cs="仿宋"/>
          <w:b w:val="0"/>
          <w:bCs/>
          <w:color w:val="auto"/>
          <w:szCs w:val="21"/>
          <w:highlight w:val="none"/>
        </w:rPr>
        <w:t>部门报告评审过程中发现的采购人、采购代理机构向评审专家做倾向性、误导性的解释或者说明，以及供应商行贿、提供虚假材料或者串通等违法行为；</w:t>
      </w:r>
    </w:p>
    <w:p w14:paraId="134A1943">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发现谈判文件内容违反国家有关强制性规定或者谈判文件存在歧义、重大缺陷导致评审工作无法进行时，停止评审并向采购人或者采购代理机构书面说明情况；</w:t>
      </w:r>
    </w:p>
    <w:p w14:paraId="1231FFE5">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及时向</w:t>
      </w:r>
      <w:r>
        <w:rPr>
          <w:rFonts w:hint="eastAsia" w:ascii="仿宋" w:hAnsi="仿宋" w:eastAsia="仿宋" w:cs="仿宋"/>
          <w:b w:val="0"/>
          <w:bCs/>
          <w:color w:val="auto"/>
          <w:szCs w:val="21"/>
          <w:highlight w:val="none"/>
          <w:lang w:eastAsia="zh-CN"/>
        </w:rPr>
        <w:t>相关</w:t>
      </w:r>
      <w:r>
        <w:rPr>
          <w:rFonts w:hint="eastAsia" w:ascii="仿宋" w:hAnsi="仿宋" w:eastAsia="仿宋" w:cs="仿宋"/>
          <w:b w:val="0"/>
          <w:bCs/>
          <w:color w:val="auto"/>
          <w:szCs w:val="21"/>
          <w:highlight w:val="none"/>
        </w:rPr>
        <w:t>部门举报在评审过程中受到非法干预的情况；</w:t>
      </w:r>
    </w:p>
    <w:p w14:paraId="6B6F1B4B">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配合答复处理供应商的询问、质疑和投诉等事项；</w:t>
      </w:r>
    </w:p>
    <w:p w14:paraId="0BE832EE">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法律、法规和规章规定的其他义务。</w:t>
      </w:r>
    </w:p>
    <w:p w14:paraId="2CDBFB33">
      <w:pPr>
        <w:pStyle w:val="54"/>
        <w:numPr>
          <w:ilvl w:val="0"/>
          <w:numId w:val="21"/>
        </w:numPr>
        <w:spacing w:line="400" w:lineRule="exact"/>
        <w:ind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评审专家在采购活动中应当遵守以下工作纪律：</w:t>
      </w:r>
    </w:p>
    <w:bookmarkEnd w:id="34"/>
    <w:bookmarkEnd w:id="35"/>
    <w:p w14:paraId="6CD58227">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bookmarkStart w:id="43" w:name="_Toc509380481"/>
      <w:bookmarkStart w:id="44" w:name="_Toc500015442"/>
      <w:bookmarkStart w:id="45" w:name="_Toc499843256"/>
      <w:r>
        <w:rPr>
          <w:rFonts w:hint="eastAsia" w:ascii="仿宋" w:hAnsi="仿宋" w:eastAsia="仿宋" w:cs="仿宋"/>
          <w:b w:val="0"/>
          <w:bCs/>
          <w:color w:val="auto"/>
          <w:szCs w:val="21"/>
          <w:highlight w:val="none"/>
        </w:rPr>
        <w:t>不得参加与自己有利害关系的采购项目的评审活动。发现参加了与自己有利害关系的评审活动，须主动提出回避，退出评审；</w:t>
      </w:r>
    </w:p>
    <w:p w14:paraId="7D86F879">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评审前，应当将通讯工具或者相关电子设备交由采购代理机构统一保管；</w:t>
      </w:r>
    </w:p>
    <w:p w14:paraId="000491C9">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评审过程中，不得与外界联系，因发生不可预见情况，确实需要与外界联系的，应当在监督人员监督之下办理；</w:t>
      </w:r>
    </w:p>
    <w:p w14:paraId="2100943D">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48BC542D">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在评审过程中和评审结束后，不得记录、复制或带走任何评审资料，不得向外界透露评审内容；</w:t>
      </w:r>
    </w:p>
    <w:p w14:paraId="62A6883B">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评审现场服从采购代理机构工作人员的管理，接受现场监督人员的合法监督；</w:t>
      </w:r>
    </w:p>
    <w:p w14:paraId="08210022">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遵守有关廉洁自律规定，不得私下接触供应商，不得收受供应商及有关业务单位和个人的财物或好处，不得接受采购代理机构的请托。</w:t>
      </w:r>
    </w:p>
    <w:p w14:paraId="604DA41B">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 w:val="32"/>
          <w:szCs w:val="32"/>
          <w:highlight w:val="none"/>
        </w:rPr>
        <w:br w:type="page"/>
      </w:r>
    </w:p>
    <w:p w14:paraId="0E1D34D6">
      <w:pPr>
        <w:pStyle w:val="2"/>
        <w:spacing w:line="240" w:lineRule="auto"/>
        <w:jc w:val="center"/>
        <w:rPr>
          <w:rFonts w:hint="eastAsia" w:ascii="仿宋" w:hAnsi="仿宋" w:eastAsia="仿宋" w:cs="仿宋"/>
          <w:color w:val="auto"/>
          <w:sz w:val="32"/>
          <w:szCs w:val="32"/>
          <w:highlight w:val="none"/>
        </w:rPr>
      </w:pPr>
      <w:bookmarkStart w:id="46" w:name="_Toc11831382"/>
      <w:bookmarkStart w:id="47" w:name="_Toc14017"/>
      <w:r>
        <w:rPr>
          <w:rFonts w:hint="eastAsia" w:ascii="仿宋" w:hAnsi="仿宋" w:eastAsia="仿宋" w:cs="仿宋"/>
          <w:color w:val="auto"/>
          <w:sz w:val="32"/>
          <w:szCs w:val="32"/>
          <w:highlight w:val="none"/>
        </w:rPr>
        <w:t xml:space="preserve">第九章  </w:t>
      </w:r>
      <w:bookmarkEnd w:id="43"/>
      <w:bookmarkEnd w:id="46"/>
      <w:r>
        <w:rPr>
          <w:rFonts w:hint="eastAsia" w:ascii="仿宋" w:hAnsi="仿宋" w:eastAsia="仿宋" w:cs="仿宋"/>
          <w:color w:val="auto"/>
          <w:sz w:val="32"/>
          <w:szCs w:val="32"/>
          <w:highlight w:val="none"/>
        </w:rPr>
        <w:t>采购合同（草案）</w:t>
      </w:r>
      <w:bookmarkEnd w:id="47"/>
    </w:p>
    <w:p w14:paraId="149B1E2C">
      <w:pPr>
        <w:widowControl/>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说明：由采购人依据项目具体需求，并按照《中华人民共和国民法典》等相关规定制定。可以采用行业标准合同范本。</w:t>
      </w:r>
    </w:p>
    <w:p w14:paraId="0772B7EF">
      <w:pPr>
        <w:widowControl/>
        <w:spacing w:line="400" w:lineRule="exact"/>
        <w:jc w:val="left"/>
        <w:rPr>
          <w:rFonts w:hint="eastAsia" w:ascii="仿宋" w:hAnsi="仿宋" w:eastAsia="仿宋" w:cs="仿宋"/>
          <w:color w:val="auto"/>
          <w:szCs w:val="21"/>
          <w:highlight w:val="none"/>
        </w:rPr>
      </w:pPr>
    </w:p>
    <w:p w14:paraId="53D6C6BA">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合同编号：XXXX。</w:t>
      </w:r>
    </w:p>
    <w:p w14:paraId="70F8DBE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签订地点：XXXX。</w:t>
      </w:r>
    </w:p>
    <w:p w14:paraId="5B61F5E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签订时间：XXXX年XX月XX日。</w:t>
      </w:r>
    </w:p>
    <w:p w14:paraId="0EFDDF97">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采购人（甲方）：</w:t>
      </w:r>
      <w:r>
        <w:rPr>
          <w:rFonts w:hint="eastAsia" w:ascii="仿宋" w:hAnsi="仿宋" w:eastAsia="仿宋" w:cs="仿宋"/>
          <w:color w:val="auto"/>
          <w:szCs w:val="21"/>
          <w:highlight w:val="none"/>
          <w:u w:val="single"/>
        </w:rPr>
        <w:t xml:space="preserve">                              </w:t>
      </w:r>
    </w:p>
    <w:p w14:paraId="060CDCA3">
      <w:pPr>
        <w:widowControl/>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供应商（乙方）：</w:t>
      </w:r>
      <w:r>
        <w:rPr>
          <w:rFonts w:hint="eastAsia" w:ascii="仿宋" w:hAnsi="仿宋" w:eastAsia="仿宋" w:cs="仿宋"/>
          <w:color w:val="auto"/>
          <w:szCs w:val="21"/>
          <w:highlight w:val="none"/>
          <w:u w:val="single"/>
        </w:rPr>
        <w:t xml:space="preserve">                              </w:t>
      </w:r>
    </w:p>
    <w:p w14:paraId="45722179">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根据《中华人民共和国民法典》与项目行业有关的法律法规，及XXX采购项目（项目编号：XXX）的《谈判文件》、乙方的《响应文件》及《成交通知书》，甲、乙双方同意签订本合同。详细技术说明及其他有关合同项目的特定信息由合同附件予以说明，合同附件及本项目的谈判文件、响应文件、《成交通知书》等均为本合同的组成部分。 </w:t>
      </w:r>
    </w:p>
    <w:p w14:paraId="02424EC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项目基本情况</w:t>
      </w:r>
    </w:p>
    <w:p w14:paraId="1324070C">
      <w:pPr>
        <w:widowControl/>
        <w:spacing w:line="400" w:lineRule="exact"/>
        <w:jc w:val="left"/>
        <w:rPr>
          <w:rFonts w:hint="eastAsia" w:ascii="仿宋" w:hAnsi="仿宋" w:eastAsia="仿宋" w:cs="仿宋"/>
          <w:color w:val="auto"/>
          <w:szCs w:val="21"/>
          <w:highlight w:val="none"/>
        </w:rPr>
      </w:pPr>
    </w:p>
    <w:p w14:paraId="406D9DC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合同期限</w:t>
      </w:r>
    </w:p>
    <w:p w14:paraId="6DD40ED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1、XXXX；</w:t>
      </w:r>
    </w:p>
    <w:p w14:paraId="65F5D4E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二、</w:t>
      </w:r>
      <w:r>
        <w:rPr>
          <w:rFonts w:hint="eastAsia" w:ascii="仿宋" w:hAnsi="仿宋" w:eastAsia="仿宋" w:cs="仿宋"/>
          <w:color w:val="auto"/>
          <w:szCs w:val="21"/>
          <w:highlight w:val="none"/>
        </w:rPr>
        <w:t>服务内容与质量标准</w:t>
      </w:r>
    </w:p>
    <w:p w14:paraId="77156031">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1、XXXX；</w:t>
      </w:r>
    </w:p>
    <w:p w14:paraId="6DE42D4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2、XXXX；</w:t>
      </w:r>
    </w:p>
    <w:p w14:paraId="71E63A6A">
      <w:pPr>
        <w:widowControl/>
        <w:spacing w:line="40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3、XXXX</w:t>
      </w:r>
      <w:r>
        <w:rPr>
          <w:rFonts w:hint="eastAsia" w:ascii="仿宋" w:hAnsi="仿宋" w:eastAsia="仿宋" w:cs="仿宋"/>
          <w:color w:val="auto"/>
          <w:szCs w:val="21"/>
          <w:highlight w:val="none"/>
          <w:lang w:eastAsia="zh-CN"/>
        </w:rPr>
        <w:t>。</w:t>
      </w:r>
    </w:p>
    <w:p w14:paraId="0123404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447A766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三、</w:t>
      </w:r>
      <w:r>
        <w:rPr>
          <w:rFonts w:hint="eastAsia" w:ascii="仿宋" w:hAnsi="仿宋" w:eastAsia="仿宋" w:cs="仿宋"/>
          <w:color w:val="auto"/>
          <w:szCs w:val="21"/>
          <w:highlight w:val="none"/>
        </w:rPr>
        <w:t>服务费用及支付方式</w:t>
      </w:r>
    </w:p>
    <w:p w14:paraId="7EDCCDB1">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本项目服务费用由以下组成：</w:t>
      </w:r>
    </w:p>
    <w:p w14:paraId="6A3F84A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1、XX万元；</w:t>
      </w:r>
    </w:p>
    <w:p w14:paraId="22E66DC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2、XX万元；</w:t>
      </w:r>
    </w:p>
    <w:p w14:paraId="46178581">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3、XX万元。</w:t>
      </w:r>
    </w:p>
    <w:p w14:paraId="588493C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39022C6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（二）</w:t>
      </w:r>
      <w:r>
        <w:rPr>
          <w:rFonts w:hint="eastAsia" w:ascii="仿宋" w:hAnsi="仿宋" w:eastAsia="仿宋" w:cs="仿宋"/>
          <w:color w:val="auto"/>
          <w:szCs w:val="21"/>
          <w:highlight w:val="none"/>
        </w:rPr>
        <w:t>服务费支付方式：</w:t>
      </w:r>
    </w:p>
    <w:p w14:paraId="03D59D75">
      <w:pPr>
        <w:widowControl/>
        <w:spacing w:line="40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XXXX</w:t>
      </w:r>
      <w:r>
        <w:rPr>
          <w:rFonts w:hint="eastAsia" w:ascii="仿宋" w:hAnsi="仿宋" w:eastAsia="仿宋" w:cs="仿宋"/>
          <w:color w:val="auto"/>
          <w:szCs w:val="21"/>
          <w:highlight w:val="none"/>
          <w:lang w:eastAsia="zh-CN"/>
        </w:rPr>
        <w:t>。</w:t>
      </w:r>
    </w:p>
    <w:p w14:paraId="7616EFC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四、</w:t>
      </w:r>
      <w:r>
        <w:rPr>
          <w:rFonts w:hint="eastAsia" w:ascii="仿宋" w:hAnsi="仿宋" w:eastAsia="仿宋" w:cs="仿宋"/>
          <w:color w:val="auto"/>
          <w:szCs w:val="21"/>
          <w:highlight w:val="none"/>
        </w:rPr>
        <w:t>知识产权</w:t>
      </w:r>
    </w:p>
    <w:p w14:paraId="7AAC66D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乙方应保证所提供的服务或其任何一部分均不会侵犯任何第三方的专利权、商标权或著作权。</w:t>
      </w:r>
    </w:p>
    <w:p w14:paraId="10ACCE1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无产权瑕疵条款</w:t>
      </w:r>
    </w:p>
    <w:p w14:paraId="45BD3A1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乙方保证所提供的服务的所有权完全属于乙方且无任何抵押、查封等产权瑕疵。如有产权瑕疵的，视为乙方违约。乙方应负担由此而产生的一切损失。</w:t>
      </w:r>
    </w:p>
    <w:p w14:paraId="5C3EA45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五、</w:t>
      </w:r>
      <w:r>
        <w:rPr>
          <w:rFonts w:hint="eastAsia" w:ascii="仿宋" w:hAnsi="仿宋" w:eastAsia="仿宋" w:cs="仿宋"/>
          <w:color w:val="auto"/>
          <w:szCs w:val="21"/>
          <w:highlight w:val="none"/>
        </w:rPr>
        <w:t>甲方的权利和义务</w:t>
      </w:r>
    </w:p>
    <w:p w14:paraId="19E07434">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73CD3FB6">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2、负责检查监督乙方管理工作的实施及制度的执行情况。</w:t>
      </w:r>
    </w:p>
    <w:p w14:paraId="576571D7">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3、根据本合同规定，按时向乙方支付应付服务费用。</w:t>
      </w:r>
    </w:p>
    <w:p w14:paraId="45C0F7CB">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4、国家法律、法规所规定由甲方承担的其它责任。</w:t>
      </w:r>
    </w:p>
    <w:p w14:paraId="24A2AE4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六、</w:t>
      </w:r>
      <w:r>
        <w:rPr>
          <w:rFonts w:hint="eastAsia" w:ascii="仿宋" w:hAnsi="仿宋" w:eastAsia="仿宋" w:cs="仿宋"/>
          <w:color w:val="auto"/>
          <w:szCs w:val="21"/>
          <w:highlight w:val="none"/>
        </w:rPr>
        <w:t>乙方的权利和义务</w:t>
      </w:r>
    </w:p>
    <w:p w14:paraId="6357D448">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1、对本合同规定的委托服务范围内的项目享有管理权及服务义务。</w:t>
      </w:r>
    </w:p>
    <w:p w14:paraId="611F2A45">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2、根据本合同的规定向甲方收取相关服务费用，并有权在本项目管理范围内管理及合理使用。</w:t>
      </w:r>
    </w:p>
    <w:p w14:paraId="0D9A296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3、及时向甲方通告本项目服务范围内有关服务的重大事项，及时配合处理投诉。</w:t>
      </w:r>
    </w:p>
    <w:p w14:paraId="0BBEFB4E">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接受项目行业管理部门及政府有关部门的指导，接受甲方的监督。</w:t>
      </w:r>
    </w:p>
    <w:p w14:paraId="4BE2AA3F">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5、国家法律、法规所规定由乙方承担的其它责任。</w:t>
      </w:r>
    </w:p>
    <w:p w14:paraId="0BC92E1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七、</w:t>
      </w:r>
      <w:r>
        <w:rPr>
          <w:rFonts w:hint="eastAsia" w:ascii="仿宋" w:hAnsi="仿宋" w:eastAsia="仿宋" w:cs="仿宋"/>
          <w:color w:val="auto"/>
          <w:szCs w:val="21"/>
          <w:highlight w:val="none"/>
        </w:rPr>
        <w:t>违约责任</w:t>
      </w:r>
    </w:p>
    <w:p w14:paraId="0053FD94">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1、甲乙双方必须遵守本合同并执行合同中的各项规定，保证本合同的正常履行。</w:t>
      </w:r>
      <w:r>
        <w:rPr>
          <w:rFonts w:hint="eastAsia" w:ascii="仿宋" w:hAnsi="仿宋" w:eastAsia="仿宋" w:cs="仿宋"/>
          <w:color w:val="auto"/>
          <w:szCs w:val="21"/>
          <w:highlight w:val="none"/>
        </w:rPr>
        <w:t>如有未尽事宜，由双方依法订立补充合同。</w:t>
      </w:r>
    </w:p>
    <w:p w14:paraId="3E2F73DE">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EB2772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八、</w:t>
      </w:r>
      <w:r>
        <w:rPr>
          <w:rFonts w:hint="eastAsia" w:ascii="仿宋" w:hAnsi="仿宋" w:eastAsia="仿宋" w:cs="仿宋"/>
          <w:color w:val="auto"/>
          <w:szCs w:val="21"/>
          <w:highlight w:val="none"/>
        </w:rPr>
        <w:t>不可抗力事件处理</w:t>
      </w:r>
    </w:p>
    <w:p w14:paraId="460AB6D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1、在合同有效期内，任何一方因不可抗力事件导致不能履行合同，则合同履行期可延长，其延长期与不可抗力影响期相同。</w:t>
      </w:r>
    </w:p>
    <w:p w14:paraId="03D772A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2、不可抗力事件发生后，应立即通知对方，并寄送有关权威机构出具的证明。</w:t>
      </w:r>
    </w:p>
    <w:p w14:paraId="07D11C1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3、不可抗力事件延续XX天以上，双方应通过友好协商，确定是否继续履行合同。</w:t>
      </w:r>
    </w:p>
    <w:p w14:paraId="05548AF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九、</w:t>
      </w:r>
      <w:r>
        <w:rPr>
          <w:rFonts w:hint="eastAsia" w:ascii="仿宋" w:hAnsi="仿宋" w:eastAsia="仿宋" w:cs="仿宋"/>
          <w:color w:val="auto"/>
          <w:szCs w:val="21"/>
          <w:highlight w:val="none"/>
        </w:rPr>
        <w:t>解决合同纠纷的方式</w:t>
      </w:r>
    </w:p>
    <w:p w14:paraId="013F0E7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1、在执行本合同中发生的或与本合同有关的争端，双方应通过友好协商解决，经协商在XX天内不能达成协议时，应提交成都仲裁委员会仲裁。</w:t>
      </w:r>
    </w:p>
    <w:p w14:paraId="3098479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2、仲裁裁决应为最终决定，并对双方具有约束力。</w:t>
      </w:r>
    </w:p>
    <w:p w14:paraId="172B2D0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3、除另有裁决外，仲裁费应由败诉方负担。</w:t>
      </w:r>
    </w:p>
    <w:p w14:paraId="1EF17B3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4、在仲裁期间，除正在进行仲裁部分外，合同其他部分继续执行。</w:t>
      </w:r>
    </w:p>
    <w:p w14:paraId="48AB565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十、</w:t>
      </w:r>
      <w:r>
        <w:rPr>
          <w:rFonts w:hint="eastAsia" w:ascii="仿宋" w:hAnsi="仿宋" w:eastAsia="仿宋" w:cs="仿宋"/>
          <w:color w:val="auto"/>
          <w:szCs w:val="21"/>
          <w:highlight w:val="none"/>
        </w:rPr>
        <w:t>合同生效及其他</w:t>
      </w:r>
    </w:p>
    <w:p w14:paraId="445902F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1、合同经双方法定代表人或授权委托代理人签字并加盖单位公章后生效。</w:t>
      </w:r>
    </w:p>
    <w:p w14:paraId="02FF7BF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2、合同执行中涉及采购资金和采购内容修改或补充的，须经政府采购监管部门审批，并签书面补充协议报政府采购监督管理部门备案，方可作为主合同不可分割的一部分。</w:t>
      </w:r>
    </w:p>
    <w:p w14:paraId="407BD1B4">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3、本合同一式XX份，自双方签章之日起起效。甲方XX份，乙方XX份，同级财政部门备案XX份，具有同等法律效力。</w:t>
      </w:r>
    </w:p>
    <w:p w14:paraId="7E672B3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十一、</w:t>
      </w:r>
      <w:r>
        <w:rPr>
          <w:rFonts w:hint="eastAsia" w:ascii="仿宋" w:hAnsi="仿宋" w:eastAsia="仿宋" w:cs="仿宋"/>
          <w:color w:val="auto"/>
          <w:szCs w:val="21"/>
          <w:highlight w:val="none"/>
        </w:rPr>
        <w:t>附件</w:t>
      </w:r>
    </w:p>
    <w:p w14:paraId="288D98E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1、项目谈判文件</w:t>
      </w:r>
    </w:p>
    <w:p w14:paraId="279A753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2、项目修改澄清文件</w:t>
      </w:r>
    </w:p>
    <w:p w14:paraId="44A6C5E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3、项目响应文件</w:t>
      </w:r>
    </w:p>
    <w:p w14:paraId="3AC4958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4、成交通知书</w:t>
      </w:r>
    </w:p>
    <w:p w14:paraId="481301A9">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w:t>
      </w:r>
    </w:p>
    <w:p w14:paraId="7579B35A">
      <w:pPr>
        <w:widowControl/>
        <w:spacing w:line="400" w:lineRule="exact"/>
        <w:jc w:val="left"/>
        <w:rPr>
          <w:rFonts w:hint="eastAsia" w:ascii="仿宋" w:hAnsi="仿宋" w:eastAsia="仿宋" w:cs="仿宋"/>
          <w:color w:val="auto"/>
          <w:szCs w:val="21"/>
          <w:highlight w:val="none"/>
        </w:rPr>
      </w:pPr>
    </w:p>
    <w:p w14:paraId="3A5849A3">
      <w:pPr>
        <w:widowControl/>
        <w:spacing w:line="400" w:lineRule="exact"/>
        <w:jc w:val="left"/>
        <w:rPr>
          <w:rFonts w:hint="eastAsia" w:ascii="仿宋" w:hAnsi="仿宋" w:eastAsia="仿宋" w:cs="仿宋"/>
          <w:color w:val="auto"/>
          <w:szCs w:val="21"/>
          <w:highlight w:val="none"/>
        </w:rPr>
      </w:pPr>
    </w:p>
    <w:p w14:paraId="580A6855">
      <w:pPr>
        <w:widowControl/>
        <w:spacing w:line="400" w:lineRule="exact"/>
        <w:jc w:val="left"/>
        <w:rPr>
          <w:rFonts w:hint="eastAsia" w:ascii="仿宋" w:hAnsi="仿宋" w:eastAsia="仿宋" w:cs="仿宋"/>
          <w:color w:val="auto"/>
          <w:szCs w:val="21"/>
          <w:highlight w:val="none"/>
        </w:rPr>
      </w:pPr>
    </w:p>
    <w:p w14:paraId="02272D56">
      <w:pPr>
        <w:widowControl/>
        <w:spacing w:line="400" w:lineRule="exact"/>
        <w:jc w:val="left"/>
        <w:rPr>
          <w:rFonts w:hint="eastAsia" w:ascii="仿宋" w:hAnsi="仿宋" w:eastAsia="仿宋" w:cs="仿宋"/>
          <w:color w:val="auto"/>
          <w:szCs w:val="21"/>
          <w:highlight w:val="none"/>
        </w:rPr>
      </w:pPr>
    </w:p>
    <w:p w14:paraId="205D1EE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甲方名称（盖章）                              乙方名称（盖章）</w:t>
      </w:r>
    </w:p>
    <w:p w14:paraId="344E6CE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法定代表人（负责人或授权代表）签字：          法定代表人（负责人或授权代表）签字：</w:t>
      </w:r>
    </w:p>
    <w:p w14:paraId="6636D71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40D50F4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039E0C8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                                        账号：</w:t>
      </w:r>
    </w:p>
    <w:p w14:paraId="0A6C3009">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6BDD51B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                          日期：    年  月  日</w:t>
      </w:r>
    </w:p>
    <w:p w14:paraId="2D56FE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F6FF436">
      <w:pPr>
        <w:pStyle w:val="2"/>
        <w:spacing w:line="240" w:lineRule="auto"/>
        <w:jc w:val="center"/>
        <w:outlineLvl w:val="0"/>
        <w:rPr>
          <w:rFonts w:hint="eastAsia" w:ascii="仿宋" w:hAnsi="仿宋" w:eastAsia="仿宋" w:cs="仿宋"/>
          <w:color w:val="auto"/>
          <w:sz w:val="32"/>
          <w:szCs w:val="32"/>
          <w:highlight w:val="none"/>
          <w:lang w:eastAsia="zh-CN"/>
        </w:rPr>
      </w:pPr>
      <w:bookmarkStart w:id="48" w:name="_Toc18024"/>
      <w:bookmarkStart w:id="49" w:name="_Toc12001"/>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十</w:t>
      </w:r>
      <w:r>
        <w:rPr>
          <w:rFonts w:hint="eastAsia" w:ascii="仿宋" w:hAnsi="仿宋" w:eastAsia="仿宋" w:cs="仿宋"/>
          <w:color w:val="auto"/>
          <w:sz w:val="32"/>
          <w:szCs w:val="32"/>
          <w:highlight w:val="none"/>
        </w:rPr>
        <w:t xml:space="preserve">章  </w:t>
      </w:r>
      <w:r>
        <w:rPr>
          <w:rFonts w:hint="eastAsia" w:ascii="仿宋" w:hAnsi="仿宋" w:eastAsia="仿宋" w:cs="仿宋"/>
          <w:color w:val="auto"/>
          <w:sz w:val="32"/>
          <w:szCs w:val="32"/>
          <w:highlight w:val="none"/>
          <w:lang w:eastAsia="zh-CN"/>
        </w:rPr>
        <w:t>附件</w:t>
      </w:r>
    </w:p>
    <w:p w14:paraId="4EF42A13">
      <w:pPr>
        <w:pStyle w:val="2"/>
        <w:keepNext/>
        <w:keepLines/>
        <w:pageBreakBefore w:val="0"/>
        <w:widowControl w:val="0"/>
        <w:kinsoku/>
        <w:wordWrap/>
        <w:overflowPunct/>
        <w:topLinePunct w:val="0"/>
        <w:autoSpaceDE/>
        <w:autoSpaceDN/>
        <w:bidi w:val="0"/>
        <w:adjustRightInd/>
        <w:snapToGrid/>
        <w:spacing w:before="0" w:after="0" w:line="400" w:lineRule="exact"/>
        <w:ind w:left="0" w:hanging="2108" w:hangingChars="100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供应商报名登记表</w:t>
      </w:r>
      <w:bookmarkEnd w:id="48"/>
      <w:bookmarkEnd w:id="49"/>
    </w:p>
    <w:p w14:paraId="6DDC071F">
      <w:pPr>
        <w:rPr>
          <w:rFonts w:hint="eastAsia"/>
          <w:color w:val="auto"/>
          <w:highlight w:val="none"/>
        </w:rPr>
      </w:pPr>
    </w:p>
    <w:tbl>
      <w:tblPr>
        <w:tblStyle w:val="29"/>
        <w:tblW w:w="9725" w:type="dxa"/>
        <w:jc w:val="center"/>
        <w:tblLayout w:type="fixed"/>
        <w:tblCellMar>
          <w:top w:w="0" w:type="dxa"/>
          <w:left w:w="108" w:type="dxa"/>
          <w:bottom w:w="0" w:type="dxa"/>
          <w:right w:w="108" w:type="dxa"/>
        </w:tblCellMar>
      </w:tblPr>
      <w:tblGrid>
        <w:gridCol w:w="2156"/>
        <w:gridCol w:w="7569"/>
      </w:tblGrid>
      <w:tr w14:paraId="4693B008">
        <w:tblPrEx>
          <w:tblCellMar>
            <w:top w:w="0" w:type="dxa"/>
            <w:left w:w="108" w:type="dxa"/>
            <w:bottom w:w="0" w:type="dxa"/>
            <w:right w:w="108" w:type="dxa"/>
          </w:tblCellMar>
        </w:tblPrEx>
        <w:trPr>
          <w:trHeight w:val="854" w:hRule="atLeast"/>
          <w:jc w:val="center"/>
        </w:trPr>
        <w:tc>
          <w:tcPr>
            <w:tcW w:w="215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6D3E11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tc>
        <w:tc>
          <w:tcPr>
            <w:tcW w:w="75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C99825F">
            <w:pPr>
              <w:spacing w:line="360" w:lineRule="auto"/>
              <w:jc w:val="center"/>
              <w:rPr>
                <w:rFonts w:hint="eastAsia" w:ascii="仿宋" w:hAnsi="仿宋" w:eastAsia="仿宋" w:cs="仿宋"/>
                <w:color w:val="auto"/>
                <w:sz w:val="21"/>
                <w:szCs w:val="21"/>
                <w:highlight w:val="none"/>
              </w:rPr>
            </w:pPr>
          </w:p>
        </w:tc>
      </w:tr>
      <w:tr w14:paraId="0CB27E86">
        <w:tblPrEx>
          <w:tblCellMar>
            <w:top w:w="0" w:type="dxa"/>
            <w:left w:w="108" w:type="dxa"/>
            <w:bottom w:w="0" w:type="dxa"/>
            <w:right w:w="108" w:type="dxa"/>
          </w:tblCellMar>
        </w:tblPrEx>
        <w:trPr>
          <w:trHeight w:val="704" w:hRule="atLeast"/>
          <w:jc w:val="center"/>
        </w:trPr>
        <w:tc>
          <w:tcPr>
            <w:tcW w:w="2156"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1D303AC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7569"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4B64D590">
            <w:pPr>
              <w:spacing w:line="360" w:lineRule="auto"/>
              <w:jc w:val="center"/>
              <w:rPr>
                <w:rFonts w:hint="eastAsia" w:ascii="仿宋" w:hAnsi="仿宋" w:eastAsia="仿宋" w:cs="仿宋"/>
                <w:color w:val="auto"/>
                <w:sz w:val="21"/>
                <w:szCs w:val="21"/>
                <w:highlight w:val="none"/>
              </w:rPr>
            </w:pPr>
          </w:p>
        </w:tc>
      </w:tr>
      <w:tr w14:paraId="02D8ECE4">
        <w:tblPrEx>
          <w:tblCellMar>
            <w:top w:w="0" w:type="dxa"/>
            <w:left w:w="108" w:type="dxa"/>
            <w:bottom w:w="0" w:type="dxa"/>
            <w:right w:w="108" w:type="dxa"/>
          </w:tblCellMar>
        </w:tblPrEx>
        <w:trPr>
          <w:trHeight w:val="759" w:hRule="atLeast"/>
          <w:jc w:val="center"/>
        </w:trPr>
        <w:tc>
          <w:tcPr>
            <w:tcW w:w="2156"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1337A8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w:t>
            </w:r>
          </w:p>
        </w:tc>
        <w:tc>
          <w:tcPr>
            <w:tcW w:w="7569"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CF7799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(加盖公章)</w:t>
            </w:r>
          </w:p>
        </w:tc>
      </w:tr>
      <w:tr w14:paraId="1258FBE6">
        <w:tblPrEx>
          <w:tblCellMar>
            <w:top w:w="0" w:type="dxa"/>
            <w:left w:w="108" w:type="dxa"/>
            <w:bottom w:w="0" w:type="dxa"/>
            <w:right w:w="108" w:type="dxa"/>
          </w:tblCellMar>
        </w:tblPrEx>
        <w:trPr>
          <w:trHeight w:val="738"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1DE42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EC9206">
            <w:pPr>
              <w:spacing w:line="360" w:lineRule="auto"/>
              <w:jc w:val="center"/>
              <w:rPr>
                <w:rFonts w:hint="eastAsia" w:ascii="仿宋" w:hAnsi="仿宋" w:eastAsia="仿宋" w:cs="仿宋"/>
                <w:color w:val="auto"/>
                <w:sz w:val="21"/>
                <w:szCs w:val="21"/>
                <w:highlight w:val="none"/>
              </w:rPr>
            </w:pPr>
          </w:p>
        </w:tc>
      </w:tr>
      <w:tr w14:paraId="71B8095F">
        <w:tblPrEx>
          <w:tblCellMar>
            <w:top w:w="0" w:type="dxa"/>
            <w:left w:w="108" w:type="dxa"/>
            <w:bottom w:w="0" w:type="dxa"/>
            <w:right w:w="108" w:type="dxa"/>
          </w:tblCellMar>
        </w:tblPrEx>
        <w:trPr>
          <w:trHeight w:val="677"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20EC0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购买文件时间(※）</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C6222B">
            <w:pPr>
              <w:spacing w:line="360" w:lineRule="auto"/>
              <w:jc w:val="center"/>
              <w:rPr>
                <w:rFonts w:hint="eastAsia" w:ascii="仿宋" w:hAnsi="仿宋" w:eastAsia="仿宋" w:cs="仿宋"/>
                <w:color w:val="auto"/>
                <w:sz w:val="21"/>
                <w:szCs w:val="21"/>
                <w:highlight w:val="none"/>
              </w:rPr>
            </w:pPr>
          </w:p>
        </w:tc>
      </w:tr>
      <w:tr w14:paraId="66732E16">
        <w:tblPrEx>
          <w:tblCellMar>
            <w:top w:w="0" w:type="dxa"/>
            <w:left w:w="108" w:type="dxa"/>
            <w:bottom w:w="0" w:type="dxa"/>
            <w:right w:w="108" w:type="dxa"/>
          </w:tblCellMar>
        </w:tblPrEx>
        <w:trPr>
          <w:trHeight w:val="650"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75982D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包件号(※）</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31E8B7">
            <w:pPr>
              <w:spacing w:line="360" w:lineRule="auto"/>
              <w:jc w:val="center"/>
              <w:rPr>
                <w:rFonts w:hint="eastAsia" w:ascii="仿宋" w:hAnsi="仿宋" w:eastAsia="仿宋" w:cs="仿宋"/>
                <w:color w:val="auto"/>
                <w:sz w:val="21"/>
                <w:szCs w:val="21"/>
                <w:highlight w:val="none"/>
                <w:lang w:val="en-US" w:eastAsia="zh-CN"/>
              </w:rPr>
            </w:pPr>
          </w:p>
        </w:tc>
      </w:tr>
      <w:tr w14:paraId="587F8E55">
        <w:tblPrEx>
          <w:tblCellMar>
            <w:top w:w="0" w:type="dxa"/>
            <w:left w:w="108" w:type="dxa"/>
            <w:bottom w:w="0" w:type="dxa"/>
            <w:right w:w="108" w:type="dxa"/>
          </w:tblCellMar>
        </w:tblPrEx>
        <w:trPr>
          <w:trHeight w:val="623"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137CE6">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839ED5">
            <w:pPr>
              <w:spacing w:line="360" w:lineRule="auto"/>
              <w:jc w:val="center"/>
              <w:rPr>
                <w:rFonts w:hint="eastAsia" w:ascii="仿宋" w:hAnsi="仿宋" w:eastAsia="仿宋" w:cs="仿宋"/>
                <w:color w:val="auto"/>
                <w:sz w:val="21"/>
                <w:szCs w:val="21"/>
                <w:highlight w:val="none"/>
              </w:rPr>
            </w:pPr>
          </w:p>
        </w:tc>
      </w:tr>
      <w:tr w14:paraId="5362D0E5">
        <w:tblPrEx>
          <w:tblCellMar>
            <w:top w:w="0" w:type="dxa"/>
            <w:left w:w="108" w:type="dxa"/>
            <w:bottom w:w="0" w:type="dxa"/>
            <w:right w:w="108" w:type="dxa"/>
          </w:tblCellMar>
        </w:tblPrEx>
        <w:trPr>
          <w:trHeight w:val="704"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B5476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单位固定电话</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C7D0BB">
            <w:pPr>
              <w:spacing w:line="360" w:lineRule="auto"/>
              <w:jc w:val="center"/>
              <w:rPr>
                <w:rFonts w:hint="eastAsia" w:ascii="仿宋" w:hAnsi="仿宋" w:eastAsia="仿宋" w:cs="仿宋"/>
                <w:color w:val="auto"/>
                <w:sz w:val="21"/>
                <w:szCs w:val="21"/>
                <w:highlight w:val="none"/>
              </w:rPr>
            </w:pPr>
          </w:p>
        </w:tc>
      </w:tr>
      <w:tr w14:paraId="703ACBE4">
        <w:tblPrEx>
          <w:tblCellMar>
            <w:top w:w="0" w:type="dxa"/>
            <w:left w:w="108" w:type="dxa"/>
            <w:bottom w:w="0" w:type="dxa"/>
            <w:right w:w="108" w:type="dxa"/>
          </w:tblCellMar>
        </w:tblPrEx>
        <w:trPr>
          <w:trHeight w:val="622"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E847EE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经办人移动电话(※）</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A83306F">
            <w:pPr>
              <w:spacing w:line="360" w:lineRule="auto"/>
              <w:jc w:val="center"/>
              <w:rPr>
                <w:rFonts w:hint="eastAsia" w:ascii="仿宋" w:hAnsi="仿宋" w:eastAsia="仿宋" w:cs="仿宋"/>
                <w:color w:val="auto"/>
                <w:sz w:val="21"/>
                <w:szCs w:val="21"/>
                <w:highlight w:val="none"/>
              </w:rPr>
            </w:pPr>
          </w:p>
        </w:tc>
      </w:tr>
      <w:tr w14:paraId="4F5DCB4E">
        <w:tblPrEx>
          <w:tblCellMar>
            <w:top w:w="0" w:type="dxa"/>
            <w:left w:w="108" w:type="dxa"/>
            <w:bottom w:w="0" w:type="dxa"/>
            <w:right w:w="108" w:type="dxa"/>
          </w:tblCellMar>
        </w:tblPrEx>
        <w:trPr>
          <w:trHeight w:val="676"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D7AD2D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单位传真</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8911FD9">
            <w:pPr>
              <w:spacing w:line="360" w:lineRule="auto"/>
              <w:jc w:val="center"/>
              <w:rPr>
                <w:rFonts w:hint="eastAsia" w:ascii="仿宋" w:hAnsi="仿宋" w:eastAsia="仿宋" w:cs="仿宋"/>
                <w:color w:val="auto"/>
                <w:sz w:val="21"/>
                <w:szCs w:val="21"/>
                <w:highlight w:val="none"/>
              </w:rPr>
            </w:pPr>
          </w:p>
        </w:tc>
      </w:tr>
      <w:tr w14:paraId="7D803CA5">
        <w:tblPrEx>
          <w:tblCellMar>
            <w:top w:w="0" w:type="dxa"/>
            <w:left w:w="108" w:type="dxa"/>
            <w:bottom w:w="0" w:type="dxa"/>
            <w:right w:w="108" w:type="dxa"/>
          </w:tblCellMar>
        </w:tblPrEx>
        <w:trPr>
          <w:trHeight w:val="595"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B4EC46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B42AE6D">
            <w:pPr>
              <w:spacing w:line="360" w:lineRule="auto"/>
              <w:jc w:val="center"/>
              <w:rPr>
                <w:rFonts w:hint="eastAsia" w:ascii="仿宋" w:hAnsi="仿宋" w:eastAsia="仿宋" w:cs="仿宋"/>
                <w:color w:val="auto"/>
                <w:sz w:val="21"/>
                <w:szCs w:val="21"/>
                <w:highlight w:val="none"/>
              </w:rPr>
            </w:pPr>
          </w:p>
        </w:tc>
      </w:tr>
      <w:tr w14:paraId="4F87630D">
        <w:tblPrEx>
          <w:tblCellMar>
            <w:top w:w="0" w:type="dxa"/>
            <w:left w:w="108" w:type="dxa"/>
            <w:bottom w:w="0" w:type="dxa"/>
            <w:right w:w="108" w:type="dxa"/>
          </w:tblCellMar>
        </w:tblPrEx>
        <w:trPr>
          <w:trHeight w:val="1505"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7CCFB7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    注</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327B7FD">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1、购买</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文件时须携带如下合法有效的证件（原件）：</w:t>
            </w:r>
          </w:p>
          <w:p w14:paraId="5FE81BE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①本表（即供应商报名登记表）；</w:t>
            </w:r>
          </w:p>
          <w:p w14:paraId="34AFEC5C">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②供应商介绍信原件（加盖公章）；</w:t>
            </w:r>
          </w:p>
          <w:p w14:paraId="562980F5">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③供应商经办人身份证影印件（加盖公章）；</w:t>
            </w:r>
          </w:p>
          <w:p w14:paraId="0944CCD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采用邮购方式的供应商请将上述资料电子版传至我司邮箱：</w:t>
            </w:r>
            <w:r>
              <w:rPr>
                <w:rFonts w:hint="eastAsia" w:ascii="仿宋" w:hAnsi="仿宋" w:eastAsia="仿宋" w:cs="仿宋"/>
                <w:color w:val="auto"/>
                <w:sz w:val="21"/>
                <w:szCs w:val="21"/>
                <w:highlight w:val="none"/>
                <w:lang w:val="en-US" w:eastAsia="zh-CN"/>
              </w:rPr>
              <w:t>scxygcxmgl@126.com</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lang w:eastAsia="zh-CN"/>
              </w:rPr>
              <w:t>18180926606</w:t>
            </w:r>
            <w:r>
              <w:rPr>
                <w:rFonts w:hint="eastAsia" w:ascii="仿宋" w:hAnsi="仿宋" w:eastAsia="仿宋" w:cs="仿宋"/>
                <w:color w:val="auto"/>
                <w:sz w:val="21"/>
                <w:szCs w:val="21"/>
                <w:highlight w:val="none"/>
              </w:rPr>
              <w:t>。</w:t>
            </w:r>
          </w:p>
          <w:p w14:paraId="22D26B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2、带※号为必填项</w:t>
            </w:r>
            <w:r>
              <w:rPr>
                <w:rFonts w:hint="eastAsia" w:ascii="仿宋" w:hAnsi="仿宋" w:eastAsia="仿宋" w:cs="仿宋"/>
                <w:color w:val="auto"/>
                <w:sz w:val="21"/>
                <w:szCs w:val="21"/>
                <w:highlight w:val="none"/>
                <w:lang w:eastAsia="zh-CN"/>
              </w:rPr>
              <w:t>。</w:t>
            </w:r>
          </w:p>
        </w:tc>
      </w:tr>
    </w:tbl>
    <w:p w14:paraId="6F11D6D7">
      <w:pPr>
        <w:pStyle w:val="61"/>
        <w:widowControl/>
        <w:spacing w:line="400" w:lineRule="exact"/>
        <w:ind w:firstLine="0" w:firstLineChars="0"/>
        <w:jc w:val="left"/>
        <w:rPr>
          <w:rFonts w:hint="eastAsia" w:ascii="仿宋" w:hAnsi="仿宋" w:eastAsia="仿宋" w:cs="仿宋"/>
          <w:color w:val="auto"/>
          <w:szCs w:val="21"/>
          <w:highlight w:val="none"/>
        </w:rPr>
      </w:pPr>
    </w:p>
    <w:bookmarkEnd w:id="44"/>
    <w:bookmarkEnd w:id="45"/>
    <w:p w14:paraId="2895D5EF">
      <w:pPr>
        <w:widowControl/>
        <w:jc w:val="left"/>
        <w:rPr>
          <w:rFonts w:hint="eastAsia" w:ascii="仿宋" w:hAnsi="仿宋" w:eastAsia="仿宋" w:cs="仿宋"/>
          <w:color w:val="auto"/>
          <w:szCs w:val="21"/>
          <w:highlight w:val="none"/>
        </w:rPr>
      </w:pPr>
    </w:p>
    <w:sectPr>
      <w:footerReference r:id="rId8"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crosoftYaHei">
    <w:altName w:val="Cambria"/>
    <w:panose1 w:val="00000000000000000000"/>
    <w:charset w:val="00"/>
    <w:family w:val="roman"/>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D37B">
    <w:pPr>
      <w:pStyle w:val="11"/>
      <w:jc w:val="center"/>
      <w:rPr>
        <w:rFonts w:ascii="微软雅黑" w:hAnsi="微软雅黑" w:eastAsia="微软雅黑"/>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617D">
    <w:pPr>
      <w:pStyle w:val="11"/>
      <w:jc w:val="center"/>
      <w:rPr>
        <w:rFonts w:ascii="微软雅黑" w:hAnsi="微软雅黑" w:eastAsia="微软雅黑"/>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DBC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B47F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8B47F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ABFB">
    <w:pPr>
      <w:pStyle w:val="11"/>
      <w:jc w:val="center"/>
      <w:rPr>
        <w:rFonts w:ascii="微软雅黑" w:hAnsi="微软雅黑" w:eastAsia="微软雅黑"/>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C48E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9C48E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4269">
    <w:pPr>
      <w:pStyle w:val="18"/>
      <w:jc w:val="right"/>
      <w:rPr>
        <w:rFonts w:hint="eastAsia" w:ascii="仿宋" w:hAnsi="仿宋" w:eastAsia="仿宋" w:cs="仿宋"/>
      </w:rPr>
    </w:pPr>
    <w:r>
      <w:rPr>
        <w:rFonts w:hint="eastAsia" w:ascii="仿宋" w:hAnsi="仿宋" w:eastAsia="仿宋" w:cs="仿宋"/>
        <w:lang w:eastAsia="zh-CN"/>
      </w:rPr>
      <w:t>四川鑫益工程项目管理有限公司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3AD7">
    <w:pPr>
      <w:pStyle w:val="18"/>
      <w:pBdr>
        <w:bottom w:val="none" w:color="auto" w:sz="0" w:space="1"/>
      </w:pBdr>
      <w:jc w:val="center"/>
      <w:rPr>
        <w:rFonts w:hint="eastAsia" w:eastAsia="宋体"/>
        <w:lang w:eastAsia="zh-CN"/>
      </w:rPr>
    </w:pPr>
    <w:r>
      <w:rPr>
        <w:rFonts w:hint="eastAsia" w:eastAsia="宋体"/>
        <w:lang w:eastAsia="zh-CN"/>
      </w:rPr>
      <w:drawing>
        <wp:inline distT="0" distB="0" distL="114300" distR="114300">
          <wp:extent cx="428625" cy="400685"/>
          <wp:effectExtent l="0" t="0" r="9525" b="184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28625" cy="400685"/>
                  </a:xfrm>
                  <a:prstGeom prst="rect">
                    <a:avLst/>
                  </a:prstGeom>
                </pic:spPr>
              </pic:pic>
            </a:graphicData>
          </a:graphic>
        </wp:inline>
      </w:drawing>
    </w:r>
  </w:p>
  <w:p w14:paraId="579AA422">
    <w:pPr>
      <w:pStyle w:val="18"/>
      <w:pBdr>
        <w:bottom w:val="none" w:color="auto" w:sz="0" w:space="1"/>
      </w:pBdr>
      <w:jc w:val="center"/>
      <w:rPr>
        <w:rFonts w:hint="eastAsia" w:ascii="仿宋" w:hAnsi="仿宋" w:eastAsia="仿宋" w:cs="仿宋"/>
        <w:sz w:val="20"/>
        <w:szCs w:val="20"/>
        <w:lang w:val="en-US" w:eastAsia="zh-CN"/>
      </w:rPr>
    </w:pPr>
    <w:r>
      <w:rPr>
        <w:rFonts w:hint="eastAsia" w:ascii="仿宋" w:hAnsi="仿宋" w:eastAsia="仿宋" w:cs="仿宋"/>
        <w:sz w:val="20"/>
        <w:szCs w:val="20"/>
        <w:lang w:eastAsia="zh-CN"/>
      </w:rPr>
      <w:t>四川鑫益工程项目管理有限公司</w:t>
    </w:r>
  </w:p>
  <w:p w14:paraId="3F9C44FA">
    <w:pPr>
      <w:pStyle w:val="18"/>
      <w:pBdr>
        <w:bottom w:val="none" w:color="auto" w:sz="0" w:space="1"/>
      </w:pBdr>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2A27C"/>
    <w:multiLevelType w:val="singleLevel"/>
    <w:tmpl w:val="8612A27C"/>
    <w:lvl w:ilvl="0" w:tentative="0">
      <w:start w:val="1"/>
      <w:numFmt w:val="decimal"/>
      <w:lvlText w:val="(%1)"/>
      <w:lvlJc w:val="left"/>
      <w:pPr>
        <w:ind w:left="425" w:hanging="425"/>
      </w:pPr>
      <w:rPr>
        <w:rFonts w:hint="default"/>
      </w:rPr>
    </w:lvl>
  </w:abstractNum>
  <w:abstractNum w:abstractNumId="1">
    <w:nsid w:val="883B7E89"/>
    <w:multiLevelType w:val="multilevel"/>
    <w:tmpl w:val="883B7E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712B478"/>
    <w:multiLevelType w:val="multilevel"/>
    <w:tmpl w:val="9712B47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93EE452"/>
    <w:multiLevelType w:val="singleLevel"/>
    <w:tmpl w:val="A93EE452"/>
    <w:lvl w:ilvl="0" w:tentative="0">
      <w:start w:val="1"/>
      <w:numFmt w:val="decimal"/>
      <w:lvlText w:val="(%1)"/>
      <w:lvlJc w:val="left"/>
      <w:pPr>
        <w:ind w:left="425" w:hanging="425"/>
      </w:pPr>
      <w:rPr>
        <w:rFonts w:hint="default"/>
      </w:rPr>
    </w:lvl>
  </w:abstractNum>
  <w:abstractNum w:abstractNumId="4">
    <w:nsid w:val="BC02B0BD"/>
    <w:multiLevelType w:val="singleLevel"/>
    <w:tmpl w:val="BC02B0BD"/>
    <w:lvl w:ilvl="0" w:tentative="0">
      <w:start w:val="1"/>
      <w:numFmt w:val="decimal"/>
      <w:lvlText w:val="(%1)"/>
      <w:lvlJc w:val="left"/>
      <w:pPr>
        <w:ind w:left="425" w:hanging="425"/>
      </w:pPr>
      <w:rPr>
        <w:rFonts w:hint="default"/>
      </w:rPr>
    </w:lvl>
  </w:abstractNum>
  <w:abstractNum w:abstractNumId="5">
    <w:nsid w:val="C791A797"/>
    <w:multiLevelType w:val="singleLevel"/>
    <w:tmpl w:val="C791A797"/>
    <w:lvl w:ilvl="0" w:tentative="0">
      <w:start w:val="1"/>
      <w:numFmt w:val="decimal"/>
      <w:suff w:val="space"/>
      <w:lvlText w:val="（%1）"/>
      <w:lvlJc w:val="left"/>
    </w:lvl>
  </w:abstractNum>
  <w:abstractNum w:abstractNumId="6">
    <w:nsid w:val="D772BBC1"/>
    <w:multiLevelType w:val="singleLevel"/>
    <w:tmpl w:val="D772BBC1"/>
    <w:lvl w:ilvl="0" w:tentative="0">
      <w:start w:val="1"/>
      <w:numFmt w:val="decimal"/>
      <w:lvlText w:val="%1."/>
      <w:lvlJc w:val="left"/>
      <w:pPr>
        <w:ind w:left="425" w:hanging="425"/>
      </w:pPr>
      <w:rPr>
        <w:rFonts w:hint="default"/>
      </w:rPr>
    </w:lvl>
  </w:abstractNum>
  <w:abstractNum w:abstractNumId="7">
    <w:nsid w:val="F34D1820"/>
    <w:multiLevelType w:val="singleLevel"/>
    <w:tmpl w:val="F34D1820"/>
    <w:lvl w:ilvl="0" w:tentative="0">
      <w:start w:val="1"/>
      <w:numFmt w:val="decimalEnclosedCircleChinese"/>
      <w:suff w:val="nothing"/>
      <w:lvlText w:val="%1　"/>
      <w:lvlJc w:val="left"/>
      <w:pPr>
        <w:ind w:left="0" w:firstLine="400"/>
      </w:pPr>
      <w:rPr>
        <w:rFonts w:hint="eastAsia"/>
      </w:rPr>
    </w:lvl>
  </w:abstractNum>
  <w:abstractNum w:abstractNumId="8">
    <w:nsid w:val="000742B4"/>
    <w:multiLevelType w:val="multilevel"/>
    <w:tmpl w:val="000742B4"/>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5D18FE"/>
    <w:multiLevelType w:val="multilevel"/>
    <w:tmpl w:val="005D18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A46640"/>
    <w:multiLevelType w:val="multilevel"/>
    <w:tmpl w:val="0AA46640"/>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76F383C"/>
    <w:multiLevelType w:val="multilevel"/>
    <w:tmpl w:val="176F38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986DF2"/>
    <w:multiLevelType w:val="multilevel"/>
    <w:tmpl w:val="1A986DF2"/>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2E966DC1"/>
    <w:multiLevelType w:val="multilevel"/>
    <w:tmpl w:val="2E966DC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30341566"/>
    <w:multiLevelType w:val="multilevel"/>
    <w:tmpl w:val="3034156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1473B6A"/>
    <w:multiLevelType w:val="multilevel"/>
    <w:tmpl w:val="31473B6A"/>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A15E2B8"/>
    <w:multiLevelType w:val="singleLevel"/>
    <w:tmpl w:val="3A15E2B8"/>
    <w:lvl w:ilvl="0" w:tentative="0">
      <w:start w:val="1"/>
      <w:numFmt w:val="decimal"/>
      <w:suff w:val="space"/>
      <w:lvlText w:val="（%1）"/>
      <w:lvlJc w:val="left"/>
    </w:lvl>
  </w:abstractNum>
  <w:abstractNum w:abstractNumId="17">
    <w:nsid w:val="4208613E"/>
    <w:multiLevelType w:val="multilevel"/>
    <w:tmpl w:val="420861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377E3A"/>
    <w:multiLevelType w:val="multilevel"/>
    <w:tmpl w:val="46377E3A"/>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42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50D00973"/>
    <w:multiLevelType w:val="multilevel"/>
    <w:tmpl w:val="50D00973"/>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593A33CC"/>
    <w:multiLevelType w:val="multilevel"/>
    <w:tmpl w:val="593A33CC"/>
    <w:lvl w:ilvl="0" w:tentative="0">
      <w:start w:val="1"/>
      <w:numFmt w:val="decimal"/>
      <w:suff w:val="space"/>
      <w:lvlText w:val="%1."/>
      <w:lvlJc w:val="left"/>
      <w:pPr>
        <w:ind w:left="425" w:hanging="425"/>
      </w:pPr>
    </w:lvl>
    <w:lvl w:ilvl="1" w:tentative="0">
      <w:start w:val="1"/>
      <w:numFmt w:val="decimal"/>
      <w:lvlText w:val="%1.%2."/>
      <w:lvlJc w:val="left"/>
      <w:pPr>
        <w:ind w:left="567" w:hanging="567"/>
      </w:pPr>
    </w:lvl>
    <w:lvl w:ilvl="2" w:tentative="0">
      <w:start w:val="1"/>
      <w:numFmt w:val="decimal"/>
      <w:suff w:val="space"/>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693CCCB4"/>
    <w:multiLevelType w:val="singleLevel"/>
    <w:tmpl w:val="693CCCB4"/>
    <w:lvl w:ilvl="0" w:tentative="0">
      <w:start w:val="1"/>
      <w:numFmt w:val="decimal"/>
      <w:lvlText w:val="(%1)"/>
      <w:lvlJc w:val="left"/>
      <w:pPr>
        <w:ind w:left="425" w:hanging="425"/>
      </w:pPr>
      <w:rPr>
        <w:rFonts w:hint="default"/>
      </w:rPr>
    </w:lvl>
  </w:abstractNum>
  <w:abstractNum w:abstractNumId="22">
    <w:nsid w:val="74453E77"/>
    <w:multiLevelType w:val="multilevel"/>
    <w:tmpl w:val="74453E77"/>
    <w:lvl w:ilvl="0" w:tentative="0">
      <w:start w:val="1"/>
      <w:numFmt w:val="decimal"/>
      <w:lvlText w:val="%1."/>
      <w:lvlJc w:val="left"/>
      <w:pPr>
        <w:ind w:left="425" w:hanging="425"/>
      </w:pPr>
      <w:rPr>
        <w:b/>
        <w:sz w:val="21"/>
        <w:szCs w:val="21"/>
      </w:rPr>
    </w:lvl>
    <w:lvl w:ilvl="1" w:tentative="0">
      <w:start w:val="1"/>
      <w:numFmt w:val="decimal"/>
      <w:lvlText w:val="%1.%2."/>
      <w:lvlJc w:val="left"/>
      <w:pPr>
        <w:ind w:left="567" w:hanging="567"/>
      </w:pPr>
      <w:rPr>
        <w:b w:val="0"/>
        <w:color w:val="000000" w:themeColor="text1"/>
        <w:sz w:val="21"/>
        <w:szCs w:val="21"/>
        <w14:textFill>
          <w14:solidFill>
            <w14:schemeClr w14:val="tx1"/>
          </w14:solidFill>
        </w14:textFill>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74997125"/>
    <w:multiLevelType w:val="multilevel"/>
    <w:tmpl w:val="749971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590898"/>
    <w:multiLevelType w:val="multilevel"/>
    <w:tmpl w:val="7C5908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21"/>
  </w:num>
  <w:num w:numId="3">
    <w:abstractNumId w:val="7"/>
  </w:num>
  <w:num w:numId="4">
    <w:abstractNumId w:val="19"/>
  </w:num>
  <w:num w:numId="5">
    <w:abstractNumId w:val="18"/>
  </w:num>
  <w:num w:numId="6">
    <w:abstractNumId w:val="12"/>
  </w:num>
  <w:num w:numId="7">
    <w:abstractNumId w:val="10"/>
  </w:num>
  <w:num w:numId="8">
    <w:abstractNumId w:val="8"/>
  </w:num>
  <w:num w:numId="9">
    <w:abstractNumId w:val="9"/>
  </w:num>
  <w:num w:numId="10">
    <w:abstractNumId w:val="23"/>
  </w:num>
  <w:num w:numId="11">
    <w:abstractNumId w:val="6"/>
  </w:num>
  <w:num w:numId="12">
    <w:abstractNumId w:val="0"/>
  </w:num>
  <w:num w:numId="13">
    <w:abstractNumId w:val="14"/>
  </w:num>
  <w:num w:numId="14">
    <w:abstractNumId w:val="17"/>
  </w:num>
  <w:num w:numId="15">
    <w:abstractNumId w:val="2"/>
  </w:num>
  <w:num w:numId="16">
    <w:abstractNumId w:val="15"/>
  </w:num>
  <w:num w:numId="17">
    <w:abstractNumId w:val="24"/>
  </w:num>
  <w:num w:numId="18">
    <w:abstractNumId w:val="1"/>
  </w:num>
  <w:num w:numId="19">
    <w:abstractNumId w:val="13"/>
  </w:num>
  <w:num w:numId="20">
    <w:abstractNumId w:val="11"/>
  </w:num>
  <w:num w:numId="21">
    <w:abstractNumId w:val="20"/>
  </w:num>
  <w:num w:numId="22">
    <w:abstractNumId w:val="5"/>
  </w:num>
  <w:num w:numId="23">
    <w:abstractNumId w:val="16"/>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63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3MTEwYTYwODA4MGZhOTcyNjRlNDdjNTgxOWQ4NDgifQ=="/>
    <w:docVar w:name="KSO_WPS_MARK_KEY" w:val="dfea25b3-059c-4326-8555-6a13d50e744b"/>
  </w:docVars>
  <w:rsids>
    <w:rsidRoot w:val="002E4A05"/>
    <w:rsid w:val="000013BF"/>
    <w:rsid w:val="0000301D"/>
    <w:rsid w:val="00005616"/>
    <w:rsid w:val="00012D93"/>
    <w:rsid w:val="00013A33"/>
    <w:rsid w:val="00014D3D"/>
    <w:rsid w:val="00017E34"/>
    <w:rsid w:val="0002066A"/>
    <w:rsid w:val="00022372"/>
    <w:rsid w:val="000233FE"/>
    <w:rsid w:val="000241F3"/>
    <w:rsid w:val="000255B9"/>
    <w:rsid w:val="00043FE9"/>
    <w:rsid w:val="00046C78"/>
    <w:rsid w:val="00061DD8"/>
    <w:rsid w:val="00073FBB"/>
    <w:rsid w:val="00074857"/>
    <w:rsid w:val="00075196"/>
    <w:rsid w:val="00085716"/>
    <w:rsid w:val="000950D3"/>
    <w:rsid w:val="000A2A88"/>
    <w:rsid w:val="000A38B4"/>
    <w:rsid w:val="000A479C"/>
    <w:rsid w:val="000C1095"/>
    <w:rsid w:val="000D2C39"/>
    <w:rsid w:val="000E0888"/>
    <w:rsid w:val="000E48F0"/>
    <w:rsid w:val="000F56A5"/>
    <w:rsid w:val="00120AEF"/>
    <w:rsid w:val="00122584"/>
    <w:rsid w:val="00141A35"/>
    <w:rsid w:val="00155B68"/>
    <w:rsid w:val="00160D03"/>
    <w:rsid w:val="001612A1"/>
    <w:rsid w:val="00165585"/>
    <w:rsid w:val="00165B27"/>
    <w:rsid w:val="001A0FA8"/>
    <w:rsid w:val="001A212D"/>
    <w:rsid w:val="001A32DB"/>
    <w:rsid w:val="001A7F0C"/>
    <w:rsid w:val="001C3543"/>
    <w:rsid w:val="001C5B3D"/>
    <w:rsid w:val="001D16D1"/>
    <w:rsid w:val="001D5A66"/>
    <w:rsid w:val="001E1573"/>
    <w:rsid w:val="001F0533"/>
    <w:rsid w:val="001F062E"/>
    <w:rsid w:val="001F569A"/>
    <w:rsid w:val="00200E33"/>
    <w:rsid w:val="00202F8B"/>
    <w:rsid w:val="00206920"/>
    <w:rsid w:val="00211FBF"/>
    <w:rsid w:val="00213A78"/>
    <w:rsid w:val="00215ACD"/>
    <w:rsid w:val="00215E2F"/>
    <w:rsid w:val="0022193F"/>
    <w:rsid w:val="0022292E"/>
    <w:rsid w:val="00244456"/>
    <w:rsid w:val="002554EB"/>
    <w:rsid w:val="00261863"/>
    <w:rsid w:val="00265395"/>
    <w:rsid w:val="00270C5D"/>
    <w:rsid w:val="00271277"/>
    <w:rsid w:val="00271C25"/>
    <w:rsid w:val="00273913"/>
    <w:rsid w:val="00276D9A"/>
    <w:rsid w:val="002A5E75"/>
    <w:rsid w:val="002A7282"/>
    <w:rsid w:val="002B6E5B"/>
    <w:rsid w:val="002C4EBE"/>
    <w:rsid w:val="002C54C8"/>
    <w:rsid w:val="002E30AC"/>
    <w:rsid w:val="002E3A3E"/>
    <w:rsid w:val="002E4A05"/>
    <w:rsid w:val="00302A09"/>
    <w:rsid w:val="003060E2"/>
    <w:rsid w:val="00320089"/>
    <w:rsid w:val="00321974"/>
    <w:rsid w:val="00324883"/>
    <w:rsid w:val="003261FA"/>
    <w:rsid w:val="00326FDD"/>
    <w:rsid w:val="00331359"/>
    <w:rsid w:val="0033499D"/>
    <w:rsid w:val="00335590"/>
    <w:rsid w:val="00343716"/>
    <w:rsid w:val="00364614"/>
    <w:rsid w:val="00371EEF"/>
    <w:rsid w:val="00372775"/>
    <w:rsid w:val="003876D2"/>
    <w:rsid w:val="003A6587"/>
    <w:rsid w:val="003A747B"/>
    <w:rsid w:val="003B2D83"/>
    <w:rsid w:val="003B38EE"/>
    <w:rsid w:val="003B6655"/>
    <w:rsid w:val="003D5EBB"/>
    <w:rsid w:val="003F08EE"/>
    <w:rsid w:val="003F53A2"/>
    <w:rsid w:val="00401738"/>
    <w:rsid w:val="00412746"/>
    <w:rsid w:val="004361E1"/>
    <w:rsid w:val="004368B9"/>
    <w:rsid w:val="00440C24"/>
    <w:rsid w:val="004451E8"/>
    <w:rsid w:val="004530B6"/>
    <w:rsid w:val="0046668C"/>
    <w:rsid w:val="004752FC"/>
    <w:rsid w:val="00490E78"/>
    <w:rsid w:val="0049520E"/>
    <w:rsid w:val="004952E1"/>
    <w:rsid w:val="004A573D"/>
    <w:rsid w:val="004B441D"/>
    <w:rsid w:val="004B6776"/>
    <w:rsid w:val="004C5050"/>
    <w:rsid w:val="004D0CC2"/>
    <w:rsid w:val="004D7345"/>
    <w:rsid w:val="004E0B96"/>
    <w:rsid w:val="004E66AE"/>
    <w:rsid w:val="004F4B2F"/>
    <w:rsid w:val="004F699A"/>
    <w:rsid w:val="00514625"/>
    <w:rsid w:val="00520420"/>
    <w:rsid w:val="00520ED6"/>
    <w:rsid w:val="00535A37"/>
    <w:rsid w:val="005408A4"/>
    <w:rsid w:val="005519B1"/>
    <w:rsid w:val="00551E9A"/>
    <w:rsid w:val="0056143F"/>
    <w:rsid w:val="00564051"/>
    <w:rsid w:val="0057135B"/>
    <w:rsid w:val="00572FD2"/>
    <w:rsid w:val="0057469B"/>
    <w:rsid w:val="005867F1"/>
    <w:rsid w:val="00591390"/>
    <w:rsid w:val="005A7420"/>
    <w:rsid w:val="005B5360"/>
    <w:rsid w:val="005D1218"/>
    <w:rsid w:val="005D1AD8"/>
    <w:rsid w:val="005D4AF4"/>
    <w:rsid w:val="005D50DA"/>
    <w:rsid w:val="005E274D"/>
    <w:rsid w:val="005F7570"/>
    <w:rsid w:val="00613DDE"/>
    <w:rsid w:val="00623719"/>
    <w:rsid w:val="00623C9F"/>
    <w:rsid w:val="00624DEC"/>
    <w:rsid w:val="00627C15"/>
    <w:rsid w:val="00633605"/>
    <w:rsid w:val="006461B4"/>
    <w:rsid w:val="006529B0"/>
    <w:rsid w:val="006578E8"/>
    <w:rsid w:val="00661327"/>
    <w:rsid w:val="00661BFA"/>
    <w:rsid w:val="00672031"/>
    <w:rsid w:val="00684C2F"/>
    <w:rsid w:val="006904FB"/>
    <w:rsid w:val="006960A0"/>
    <w:rsid w:val="006A35D3"/>
    <w:rsid w:val="006B504B"/>
    <w:rsid w:val="006B7C99"/>
    <w:rsid w:val="006C26CF"/>
    <w:rsid w:val="006D3DD1"/>
    <w:rsid w:val="006D4703"/>
    <w:rsid w:val="006D7E8C"/>
    <w:rsid w:val="006E171E"/>
    <w:rsid w:val="006E530D"/>
    <w:rsid w:val="006E7BB2"/>
    <w:rsid w:val="006F08C6"/>
    <w:rsid w:val="006F3438"/>
    <w:rsid w:val="00700462"/>
    <w:rsid w:val="007204BC"/>
    <w:rsid w:val="00722B00"/>
    <w:rsid w:val="00726D9E"/>
    <w:rsid w:val="00727FF7"/>
    <w:rsid w:val="00730684"/>
    <w:rsid w:val="0073235A"/>
    <w:rsid w:val="0073678D"/>
    <w:rsid w:val="007371C3"/>
    <w:rsid w:val="00741059"/>
    <w:rsid w:val="00743775"/>
    <w:rsid w:val="00753A7E"/>
    <w:rsid w:val="007558EF"/>
    <w:rsid w:val="007573EC"/>
    <w:rsid w:val="00760549"/>
    <w:rsid w:val="00765306"/>
    <w:rsid w:val="00765F4A"/>
    <w:rsid w:val="00771B6F"/>
    <w:rsid w:val="0077323F"/>
    <w:rsid w:val="00783911"/>
    <w:rsid w:val="00786CA2"/>
    <w:rsid w:val="0078779A"/>
    <w:rsid w:val="00794374"/>
    <w:rsid w:val="007A43F5"/>
    <w:rsid w:val="007A5ADD"/>
    <w:rsid w:val="007A68F6"/>
    <w:rsid w:val="007B20FD"/>
    <w:rsid w:val="007D6BB3"/>
    <w:rsid w:val="007F5F75"/>
    <w:rsid w:val="007F7E4E"/>
    <w:rsid w:val="00800AEE"/>
    <w:rsid w:val="00821AB9"/>
    <w:rsid w:val="008316B4"/>
    <w:rsid w:val="00835216"/>
    <w:rsid w:val="0084408B"/>
    <w:rsid w:val="0085046D"/>
    <w:rsid w:val="00854F75"/>
    <w:rsid w:val="008670CB"/>
    <w:rsid w:val="008858E3"/>
    <w:rsid w:val="00894D09"/>
    <w:rsid w:val="00895298"/>
    <w:rsid w:val="008973DC"/>
    <w:rsid w:val="008C393B"/>
    <w:rsid w:val="008F1DA2"/>
    <w:rsid w:val="008F7D8B"/>
    <w:rsid w:val="00930408"/>
    <w:rsid w:val="00931518"/>
    <w:rsid w:val="00932094"/>
    <w:rsid w:val="009360F5"/>
    <w:rsid w:val="009407D0"/>
    <w:rsid w:val="00941B8A"/>
    <w:rsid w:val="00945D9D"/>
    <w:rsid w:val="00953AE6"/>
    <w:rsid w:val="0096672D"/>
    <w:rsid w:val="0097075B"/>
    <w:rsid w:val="009849DA"/>
    <w:rsid w:val="00991C74"/>
    <w:rsid w:val="009B385C"/>
    <w:rsid w:val="009B67C4"/>
    <w:rsid w:val="009B697C"/>
    <w:rsid w:val="009C5DE5"/>
    <w:rsid w:val="009C6D7F"/>
    <w:rsid w:val="009D0D91"/>
    <w:rsid w:val="009D3778"/>
    <w:rsid w:val="00A006FB"/>
    <w:rsid w:val="00A047E2"/>
    <w:rsid w:val="00A0772F"/>
    <w:rsid w:val="00A30BA3"/>
    <w:rsid w:val="00A36895"/>
    <w:rsid w:val="00A40E5E"/>
    <w:rsid w:val="00A42E67"/>
    <w:rsid w:val="00A6253A"/>
    <w:rsid w:val="00A634D9"/>
    <w:rsid w:val="00A76C70"/>
    <w:rsid w:val="00A80760"/>
    <w:rsid w:val="00A87DD9"/>
    <w:rsid w:val="00A93F08"/>
    <w:rsid w:val="00A96B1E"/>
    <w:rsid w:val="00AA3108"/>
    <w:rsid w:val="00AA4445"/>
    <w:rsid w:val="00AA56BC"/>
    <w:rsid w:val="00AA5DA2"/>
    <w:rsid w:val="00AB067F"/>
    <w:rsid w:val="00AB3A2C"/>
    <w:rsid w:val="00AC0DD2"/>
    <w:rsid w:val="00AC0F55"/>
    <w:rsid w:val="00AC246B"/>
    <w:rsid w:val="00AC4D98"/>
    <w:rsid w:val="00AC60C1"/>
    <w:rsid w:val="00AD2E2C"/>
    <w:rsid w:val="00AD2E79"/>
    <w:rsid w:val="00AE1CA1"/>
    <w:rsid w:val="00AE2857"/>
    <w:rsid w:val="00AE2F26"/>
    <w:rsid w:val="00AE55E7"/>
    <w:rsid w:val="00AE7D73"/>
    <w:rsid w:val="00AF531E"/>
    <w:rsid w:val="00B0297F"/>
    <w:rsid w:val="00B0416B"/>
    <w:rsid w:val="00B04BDF"/>
    <w:rsid w:val="00B0674E"/>
    <w:rsid w:val="00B15BDB"/>
    <w:rsid w:val="00B22DF7"/>
    <w:rsid w:val="00B24ECA"/>
    <w:rsid w:val="00B2581C"/>
    <w:rsid w:val="00B26324"/>
    <w:rsid w:val="00B37998"/>
    <w:rsid w:val="00B43985"/>
    <w:rsid w:val="00B477AB"/>
    <w:rsid w:val="00B6488B"/>
    <w:rsid w:val="00B72BE2"/>
    <w:rsid w:val="00B838D4"/>
    <w:rsid w:val="00B90D73"/>
    <w:rsid w:val="00B96B4C"/>
    <w:rsid w:val="00BA53B5"/>
    <w:rsid w:val="00BB0F98"/>
    <w:rsid w:val="00BB4554"/>
    <w:rsid w:val="00BC040B"/>
    <w:rsid w:val="00BD02F8"/>
    <w:rsid w:val="00BD1D2E"/>
    <w:rsid w:val="00BD232F"/>
    <w:rsid w:val="00BE0C70"/>
    <w:rsid w:val="00BE20B3"/>
    <w:rsid w:val="00BE706C"/>
    <w:rsid w:val="00BF3D2A"/>
    <w:rsid w:val="00C01A8D"/>
    <w:rsid w:val="00C04644"/>
    <w:rsid w:val="00C1437D"/>
    <w:rsid w:val="00C1631D"/>
    <w:rsid w:val="00C20DCE"/>
    <w:rsid w:val="00C2239C"/>
    <w:rsid w:val="00C231D0"/>
    <w:rsid w:val="00C2795F"/>
    <w:rsid w:val="00C30F85"/>
    <w:rsid w:val="00C32178"/>
    <w:rsid w:val="00C442A8"/>
    <w:rsid w:val="00C50459"/>
    <w:rsid w:val="00C64814"/>
    <w:rsid w:val="00C6491D"/>
    <w:rsid w:val="00C7226D"/>
    <w:rsid w:val="00C766A2"/>
    <w:rsid w:val="00C840B3"/>
    <w:rsid w:val="00C84486"/>
    <w:rsid w:val="00C862C8"/>
    <w:rsid w:val="00C93B71"/>
    <w:rsid w:val="00CA1E4D"/>
    <w:rsid w:val="00CB3ECD"/>
    <w:rsid w:val="00CC1166"/>
    <w:rsid w:val="00CC1384"/>
    <w:rsid w:val="00CD54A0"/>
    <w:rsid w:val="00CE3243"/>
    <w:rsid w:val="00CE4C48"/>
    <w:rsid w:val="00D06589"/>
    <w:rsid w:val="00D0737E"/>
    <w:rsid w:val="00D076DA"/>
    <w:rsid w:val="00D15B3C"/>
    <w:rsid w:val="00D17883"/>
    <w:rsid w:val="00D20C79"/>
    <w:rsid w:val="00D27924"/>
    <w:rsid w:val="00D434D2"/>
    <w:rsid w:val="00D51327"/>
    <w:rsid w:val="00D5768C"/>
    <w:rsid w:val="00D619D1"/>
    <w:rsid w:val="00D63621"/>
    <w:rsid w:val="00D7606E"/>
    <w:rsid w:val="00D82494"/>
    <w:rsid w:val="00D96489"/>
    <w:rsid w:val="00D97756"/>
    <w:rsid w:val="00DB0BBC"/>
    <w:rsid w:val="00DB3F91"/>
    <w:rsid w:val="00DC1586"/>
    <w:rsid w:val="00DC25E2"/>
    <w:rsid w:val="00DC39D8"/>
    <w:rsid w:val="00DC5328"/>
    <w:rsid w:val="00DD0AFA"/>
    <w:rsid w:val="00DD1803"/>
    <w:rsid w:val="00DD438F"/>
    <w:rsid w:val="00DD6D77"/>
    <w:rsid w:val="00DD6E20"/>
    <w:rsid w:val="00DD743C"/>
    <w:rsid w:val="00DE0684"/>
    <w:rsid w:val="00DE4371"/>
    <w:rsid w:val="00DE4471"/>
    <w:rsid w:val="00DE4EF0"/>
    <w:rsid w:val="00DF0AF7"/>
    <w:rsid w:val="00DF7767"/>
    <w:rsid w:val="00DF7BDF"/>
    <w:rsid w:val="00E51DDF"/>
    <w:rsid w:val="00E72E38"/>
    <w:rsid w:val="00E81F14"/>
    <w:rsid w:val="00E82F31"/>
    <w:rsid w:val="00E836A6"/>
    <w:rsid w:val="00E858D1"/>
    <w:rsid w:val="00E9429F"/>
    <w:rsid w:val="00EB0E9C"/>
    <w:rsid w:val="00EC1D3D"/>
    <w:rsid w:val="00EC1ED8"/>
    <w:rsid w:val="00EC4EF7"/>
    <w:rsid w:val="00EC55F9"/>
    <w:rsid w:val="00EE3B1C"/>
    <w:rsid w:val="00EE48E2"/>
    <w:rsid w:val="00EF474B"/>
    <w:rsid w:val="00F3589C"/>
    <w:rsid w:val="00F45609"/>
    <w:rsid w:val="00F47A62"/>
    <w:rsid w:val="00F51EB0"/>
    <w:rsid w:val="00F53163"/>
    <w:rsid w:val="00F531BF"/>
    <w:rsid w:val="00F63655"/>
    <w:rsid w:val="00F66031"/>
    <w:rsid w:val="00F73FDF"/>
    <w:rsid w:val="00F76CD5"/>
    <w:rsid w:val="00F819E8"/>
    <w:rsid w:val="00F83EE7"/>
    <w:rsid w:val="00F85B02"/>
    <w:rsid w:val="00F91CB3"/>
    <w:rsid w:val="00F91D5A"/>
    <w:rsid w:val="00F957C5"/>
    <w:rsid w:val="00FA0C0D"/>
    <w:rsid w:val="00FA3A53"/>
    <w:rsid w:val="00FC21AD"/>
    <w:rsid w:val="00FE5F9C"/>
    <w:rsid w:val="0145478B"/>
    <w:rsid w:val="01850EAF"/>
    <w:rsid w:val="018E29B6"/>
    <w:rsid w:val="01B879F4"/>
    <w:rsid w:val="01F96671"/>
    <w:rsid w:val="02020850"/>
    <w:rsid w:val="02374293"/>
    <w:rsid w:val="024A2EAE"/>
    <w:rsid w:val="02D154F8"/>
    <w:rsid w:val="02D25CA1"/>
    <w:rsid w:val="030B27C9"/>
    <w:rsid w:val="034D74E5"/>
    <w:rsid w:val="035F38AA"/>
    <w:rsid w:val="03EA0013"/>
    <w:rsid w:val="0422292F"/>
    <w:rsid w:val="043E05A0"/>
    <w:rsid w:val="047A66D4"/>
    <w:rsid w:val="04D019EB"/>
    <w:rsid w:val="04D853CA"/>
    <w:rsid w:val="05D67B88"/>
    <w:rsid w:val="05DD06BF"/>
    <w:rsid w:val="05DD246D"/>
    <w:rsid w:val="064776B0"/>
    <w:rsid w:val="0651476C"/>
    <w:rsid w:val="06A411DD"/>
    <w:rsid w:val="06B70AD2"/>
    <w:rsid w:val="0765648C"/>
    <w:rsid w:val="0773554C"/>
    <w:rsid w:val="07893A95"/>
    <w:rsid w:val="0806390A"/>
    <w:rsid w:val="083D7F76"/>
    <w:rsid w:val="08510EF1"/>
    <w:rsid w:val="089D4136"/>
    <w:rsid w:val="08F30B60"/>
    <w:rsid w:val="09125A9C"/>
    <w:rsid w:val="091B5B83"/>
    <w:rsid w:val="093424EE"/>
    <w:rsid w:val="097A1E7C"/>
    <w:rsid w:val="09862E1C"/>
    <w:rsid w:val="0990092D"/>
    <w:rsid w:val="09A440EF"/>
    <w:rsid w:val="09DA6CC4"/>
    <w:rsid w:val="09F03AEA"/>
    <w:rsid w:val="0A0F4281"/>
    <w:rsid w:val="0A231F95"/>
    <w:rsid w:val="0A453785"/>
    <w:rsid w:val="0A8F0512"/>
    <w:rsid w:val="0AB404DD"/>
    <w:rsid w:val="0AC876EA"/>
    <w:rsid w:val="0B0A235A"/>
    <w:rsid w:val="0B500002"/>
    <w:rsid w:val="0BC15D8A"/>
    <w:rsid w:val="0C160487"/>
    <w:rsid w:val="0C6A432F"/>
    <w:rsid w:val="0D020A0B"/>
    <w:rsid w:val="0D1E7B52"/>
    <w:rsid w:val="0D2A2149"/>
    <w:rsid w:val="0D7714E9"/>
    <w:rsid w:val="0DDF16F7"/>
    <w:rsid w:val="0E55232D"/>
    <w:rsid w:val="0EC2277E"/>
    <w:rsid w:val="0F006472"/>
    <w:rsid w:val="0F5051C0"/>
    <w:rsid w:val="0F741966"/>
    <w:rsid w:val="0F865D67"/>
    <w:rsid w:val="0FA37386"/>
    <w:rsid w:val="0FC74756"/>
    <w:rsid w:val="0FCC4E3F"/>
    <w:rsid w:val="0FF33E32"/>
    <w:rsid w:val="10000FF1"/>
    <w:rsid w:val="10101691"/>
    <w:rsid w:val="1077526D"/>
    <w:rsid w:val="10B416E8"/>
    <w:rsid w:val="10E24DDC"/>
    <w:rsid w:val="1105164E"/>
    <w:rsid w:val="110C4888"/>
    <w:rsid w:val="11580DCF"/>
    <w:rsid w:val="115F4F01"/>
    <w:rsid w:val="11AB719A"/>
    <w:rsid w:val="11B2449C"/>
    <w:rsid w:val="11D11806"/>
    <w:rsid w:val="11DA528C"/>
    <w:rsid w:val="121E62E8"/>
    <w:rsid w:val="126779FF"/>
    <w:rsid w:val="12B30BFF"/>
    <w:rsid w:val="12FA4679"/>
    <w:rsid w:val="1385425A"/>
    <w:rsid w:val="13B862C8"/>
    <w:rsid w:val="14031D5C"/>
    <w:rsid w:val="14364C5C"/>
    <w:rsid w:val="14985134"/>
    <w:rsid w:val="14DD2428"/>
    <w:rsid w:val="14E16240"/>
    <w:rsid w:val="1557566D"/>
    <w:rsid w:val="157D3325"/>
    <w:rsid w:val="157F1549"/>
    <w:rsid w:val="15805D8D"/>
    <w:rsid w:val="159C2EF4"/>
    <w:rsid w:val="15A970E0"/>
    <w:rsid w:val="15BE3DC2"/>
    <w:rsid w:val="16257519"/>
    <w:rsid w:val="16731474"/>
    <w:rsid w:val="167D1103"/>
    <w:rsid w:val="16BE1E47"/>
    <w:rsid w:val="173C356C"/>
    <w:rsid w:val="1740460A"/>
    <w:rsid w:val="174D3A13"/>
    <w:rsid w:val="175B6DE3"/>
    <w:rsid w:val="177E473D"/>
    <w:rsid w:val="179D6D60"/>
    <w:rsid w:val="17AD77C6"/>
    <w:rsid w:val="17C4348D"/>
    <w:rsid w:val="186E7CC7"/>
    <w:rsid w:val="1873588B"/>
    <w:rsid w:val="187C7D02"/>
    <w:rsid w:val="18A871F3"/>
    <w:rsid w:val="18F00070"/>
    <w:rsid w:val="18F100E3"/>
    <w:rsid w:val="191A70DD"/>
    <w:rsid w:val="194523AC"/>
    <w:rsid w:val="19714295"/>
    <w:rsid w:val="19E636C9"/>
    <w:rsid w:val="19EF02B5"/>
    <w:rsid w:val="19F32E71"/>
    <w:rsid w:val="1AC92B69"/>
    <w:rsid w:val="1AED409F"/>
    <w:rsid w:val="1AF60779"/>
    <w:rsid w:val="1B2F32E1"/>
    <w:rsid w:val="1B4E0083"/>
    <w:rsid w:val="1BA768DE"/>
    <w:rsid w:val="1BAF1D5E"/>
    <w:rsid w:val="1BB00415"/>
    <w:rsid w:val="1BB27AA1"/>
    <w:rsid w:val="1BC51582"/>
    <w:rsid w:val="1BDE43F2"/>
    <w:rsid w:val="1C0954E1"/>
    <w:rsid w:val="1C2227B5"/>
    <w:rsid w:val="1C2A5889"/>
    <w:rsid w:val="1C3914EE"/>
    <w:rsid w:val="1C716FAF"/>
    <w:rsid w:val="1C9334BD"/>
    <w:rsid w:val="1CC7132A"/>
    <w:rsid w:val="1D5B296A"/>
    <w:rsid w:val="1D897FA0"/>
    <w:rsid w:val="1DD102DC"/>
    <w:rsid w:val="1DD15768"/>
    <w:rsid w:val="1DFB74DD"/>
    <w:rsid w:val="1E087E4C"/>
    <w:rsid w:val="1E1C59D8"/>
    <w:rsid w:val="1E6D4EAB"/>
    <w:rsid w:val="1E766E25"/>
    <w:rsid w:val="1ECD32A4"/>
    <w:rsid w:val="1F4A7B38"/>
    <w:rsid w:val="1F5D7D23"/>
    <w:rsid w:val="1F8F2148"/>
    <w:rsid w:val="1F9B3610"/>
    <w:rsid w:val="1FAE2FBF"/>
    <w:rsid w:val="205C7FDB"/>
    <w:rsid w:val="2079293B"/>
    <w:rsid w:val="20960776"/>
    <w:rsid w:val="20E61BEC"/>
    <w:rsid w:val="20E8637C"/>
    <w:rsid w:val="20F01385"/>
    <w:rsid w:val="21546D56"/>
    <w:rsid w:val="217F43F5"/>
    <w:rsid w:val="21C347B6"/>
    <w:rsid w:val="21DD3C53"/>
    <w:rsid w:val="220F2B00"/>
    <w:rsid w:val="235E364C"/>
    <w:rsid w:val="238B7AC3"/>
    <w:rsid w:val="23973F96"/>
    <w:rsid w:val="24213366"/>
    <w:rsid w:val="242700BC"/>
    <w:rsid w:val="247F1866"/>
    <w:rsid w:val="255D42F3"/>
    <w:rsid w:val="2587071B"/>
    <w:rsid w:val="25BD02D9"/>
    <w:rsid w:val="25C00E17"/>
    <w:rsid w:val="25ED6AD4"/>
    <w:rsid w:val="25F80DA5"/>
    <w:rsid w:val="262763F7"/>
    <w:rsid w:val="268A02F1"/>
    <w:rsid w:val="26A41FD3"/>
    <w:rsid w:val="26B903B0"/>
    <w:rsid w:val="26C568DA"/>
    <w:rsid w:val="26CD076A"/>
    <w:rsid w:val="26F32E9A"/>
    <w:rsid w:val="27B356C4"/>
    <w:rsid w:val="27B84B3D"/>
    <w:rsid w:val="27CA1E87"/>
    <w:rsid w:val="285717B4"/>
    <w:rsid w:val="28960C8B"/>
    <w:rsid w:val="291B6C85"/>
    <w:rsid w:val="29323148"/>
    <w:rsid w:val="294E7287"/>
    <w:rsid w:val="29542197"/>
    <w:rsid w:val="29B95B82"/>
    <w:rsid w:val="29D03B62"/>
    <w:rsid w:val="2A087AB4"/>
    <w:rsid w:val="2A193CE8"/>
    <w:rsid w:val="2AB66679"/>
    <w:rsid w:val="2B0100C6"/>
    <w:rsid w:val="2B037147"/>
    <w:rsid w:val="2B0D6FF4"/>
    <w:rsid w:val="2B490353"/>
    <w:rsid w:val="2B783ABA"/>
    <w:rsid w:val="2BDB094E"/>
    <w:rsid w:val="2BEA248F"/>
    <w:rsid w:val="2C3E3082"/>
    <w:rsid w:val="2CD555AC"/>
    <w:rsid w:val="2CE74E9C"/>
    <w:rsid w:val="2CE755A3"/>
    <w:rsid w:val="2CF36EB1"/>
    <w:rsid w:val="2CFC5020"/>
    <w:rsid w:val="2CFD09AC"/>
    <w:rsid w:val="2D2E011E"/>
    <w:rsid w:val="2D3D5085"/>
    <w:rsid w:val="2D3E0CCC"/>
    <w:rsid w:val="2D4C00D5"/>
    <w:rsid w:val="2D5F4058"/>
    <w:rsid w:val="2DC378EB"/>
    <w:rsid w:val="2DC45100"/>
    <w:rsid w:val="2E024E12"/>
    <w:rsid w:val="2E363764"/>
    <w:rsid w:val="2E424C8B"/>
    <w:rsid w:val="2E5977D4"/>
    <w:rsid w:val="2E5E221D"/>
    <w:rsid w:val="2E6A3E47"/>
    <w:rsid w:val="2E6E0C87"/>
    <w:rsid w:val="2E734F10"/>
    <w:rsid w:val="2E8F2224"/>
    <w:rsid w:val="2EAF6C90"/>
    <w:rsid w:val="2EE23F7A"/>
    <w:rsid w:val="2F290205"/>
    <w:rsid w:val="2F9C5AF8"/>
    <w:rsid w:val="2F9D0922"/>
    <w:rsid w:val="30084414"/>
    <w:rsid w:val="301A22A0"/>
    <w:rsid w:val="3068767A"/>
    <w:rsid w:val="308F771E"/>
    <w:rsid w:val="30BA7B73"/>
    <w:rsid w:val="30FE1366"/>
    <w:rsid w:val="31247D94"/>
    <w:rsid w:val="312F0B59"/>
    <w:rsid w:val="31A725A7"/>
    <w:rsid w:val="31BC5716"/>
    <w:rsid w:val="31C6096E"/>
    <w:rsid w:val="32075FF9"/>
    <w:rsid w:val="32616E32"/>
    <w:rsid w:val="32F444B2"/>
    <w:rsid w:val="33162750"/>
    <w:rsid w:val="33207977"/>
    <w:rsid w:val="3322392A"/>
    <w:rsid w:val="3326174A"/>
    <w:rsid w:val="33896B36"/>
    <w:rsid w:val="33E206B4"/>
    <w:rsid w:val="34393C88"/>
    <w:rsid w:val="346E1A97"/>
    <w:rsid w:val="34CC4359"/>
    <w:rsid w:val="34DC1BB4"/>
    <w:rsid w:val="35827CEA"/>
    <w:rsid w:val="35CA7C00"/>
    <w:rsid w:val="361E339A"/>
    <w:rsid w:val="36231712"/>
    <w:rsid w:val="3673421C"/>
    <w:rsid w:val="36B945E3"/>
    <w:rsid w:val="37281F25"/>
    <w:rsid w:val="372959CE"/>
    <w:rsid w:val="373B4170"/>
    <w:rsid w:val="375F47CC"/>
    <w:rsid w:val="37AC3523"/>
    <w:rsid w:val="38A12E93"/>
    <w:rsid w:val="38E33925"/>
    <w:rsid w:val="38F17A02"/>
    <w:rsid w:val="39496AF9"/>
    <w:rsid w:val="39765215"/>
    <w:rsid w:val="39766A08"/>
    <w:rsid w:val="3A566A27"/>
    <w:rsid w:val="3A815895"/>
    <w:rsid w:val="3ACD0043"/>
    <w:rsid w:val="3B0524E8"/>
    <w:rsid w:val="3B4B3671"/>
    <w:rsid w:val="3BE118FE"/>
    <w:rsid w:val="3BF70FFA"/>
    <w:rsid w:val="3BFA4B07"/>
    <w:rsid w:val="3C0E3430"/>
    <w:rsid w:val="3C1E49BD"/>
    <w:rsid w:val="3C240A39"/>
    <w:rsid w:val="3C74746D"/>
    <w:rsid w:val="3C8B285E"/>
    <w:rsid w:val="3D263B11"/>
    <w:rsid w:val="3D656B40"/>
    <w:rsid w:val="3D7967A4"/>
    <w:rsid w:val="3D804365"/>
    <w:rsid w:val="3DAD38D3"/>
    <w:rsid w:val="3DC02975"/>
    <w:rsid w:val="3DE6740A"/>
    <w:rsid w:val="3E1F182A"/>
    <w:rsid w:val="3E3B2AFD"/>
    <w:rsid w:val="3E5C6A72"/>
    <w:rsid w:val="3ED03C16"/>
    <w:rsid w:val="3F536256"/>
    <w:rsid w:val="40432F2D"/>
    <w:rsid w:val="405961D5"/>
    <w:rsid w:val="40B437EF"/>
    <w:rsid w:val="40D418BB"/>
    <w:rsid w:val="40E503E5"/>
    <w:rsid w:val="41C932CA"/>
    <w:rsid w:val="41D614EA"/>
    <w:rsid w:val="421E2360"/>
    <w:rsid w:val="424E1A22"/>
    <w:rsid w:val="430D5439"/>
    <w:rsid w:val="433C3F59"/>
    <w:rsid w:val="435B7EB3"/>
    <w:rsid w:val="437470F1"/>
    <w:rsid w:val="43BD4252"/>
    <w:rsid w:val="4418463F"/>
    <w:rsid w:val="4421065F"/>
    <w:rsid w:val="44623562"/>
    <w:rsid w:val="446409D9"/>
    <w:rsid w:val="44672F1A"/>
    <w:rsid w:val="4467501D"/>
    <w:rsid w:val="44A96EE1"/>
    <w:rsid w:val="44B00772"/>
    <w:rsid w:val="451505D5"/>
    <w:rsid w:val="45251BF5"/>
    <w:rsid w:val="45FE3378"/>
    <w:rsid w:val="46224246"/>
    <w:rsid w:val="46A67880"/>
    <w:rsid w:val="46CC1167"/>
    <w:rsid w:val="46FA398B"/>
    <w:rsid w:val="4701087D"/>
    <w:rsid w:val="4714168E"/>
    <w:rsid w:val="472B23A9"/>
    <w:rsid w:val="47331F9F"/>
    <w:rsid w:val="47A22CDF"/>
    <w:rsid w:val="47A776AD"/>
    <w:rsid w:val="47AF596A"/>
    <w:rsid w:val="47BD2299"/>
    <w:rsid w:val="47C456FE"/>
    <w:rsid w:val="47EC759F"/>
    <w:rsid w:val="48AE7515"/>
    <w:rsid w:val="49162EA1"/>
    <w:rsid w:val="494459F0"/>
    <w:rsid w:val="49731ACF"/>
    <w:rsid w:val="497C6E74"/>
    <w:rsid w:val="49E0273F"/>
    <w:rsid w:val="4A356E78"/>
    <w:rsid w:val="4A3D0F9E"/>
    <w:rsid w:val="4A3E237C"/>
    <w:rsid w:val="4A6E2C61"/>
    <w:rsid w:val="4A963D49"/>
    <w:rsid w:val="4AAE558F"/>
    <w:rsid w:val="4B002E76"/>
    <w:rsid w:val="4B1A157A"/>
    <w:rsid w:val="4B645D5C"/>
    <w:rsid w:val="4BA6467C"/>
    <w:rsid w:val="4BE45EE3"/>
    <w:rsid w:val="4BEE392E"/>
    <w:rsid w:val="4CCF418E"/>
    <w:rsid w:val="4D0E24D9"/>
    <w:rsid w:val="4D833D59"/>
    <w:rsid w:val="4E5F0CC2"/>
    <w:rsid w:val="4E78439B"/>
    <w:rsid w:val="4EDC193B"/>
    <w:rsid w:val="4EF35686"/>
    <w:rsid w:val="4F26750A"/>
    <w:rsid w:val="4FA919B3"/>
    <w:rsid w:val="4FAE58AE"/>
    <w:rsid w:val="4FC21CDF"/>
    <w:rsid w:val="4FD578D7"/>
    <w:rsid w:val="4FFB5992"/>
    <w:rsid w:val="513444D8"/>
    <w:rsid w:val="51CC64BF"/>
    <w:rsid w:val="524B32DD"/>
    <w:rsid w:val="528840A5"/>
    <w:rsid w:val="52A03BD4"/>
    <w:rsid w:val="52FB488E"/>
    <w:rsid w:val="52FD496C"/>
    <w:rsid w:val="534E5A6D"/>
    <w:rsid w:val="53607807"/>
    <w:rsid w:val="53EC59C1"/>
    <w:rsid w:val="542645AC"/>
    <w:rsid w:val="54273E81"/>
    <w:rsid w:val="54490876"/>
    <w:rsid w:val="5463310B"/>
    <w:rsid w:val="549620A8"/>
    <w:rsid w:val="54D1488D"/>
    <w:rsid w:val="54EA2054"/>
    <w:rsid w:val="54FB6230"/>
    <w:rsid w:val="54FD480B"/>
    <w:rsid w:val="5595617E"/>
    <w:rsid w:val="5597650F"/>
    <w:rsid w:val="56112F2F"/>
    <w:rsid w:val="56B57565"/>
    <w:rsid w:val="56C81B42"/>
    <w:rsid w:val="56E93864"/>
    <w:rsid w:val="56F15360"/>
    <w:rsid w:val="573E74AA"/>
    <w:rsid w:val="576F1263"/>
    <w:rsid w:val="579D2DD8"/>
    <w:rsid w:val="58312F46"/>
    <w:rsid w:val="584712E4"/>
    <w:rsid w:val="58636A40"/>
    <w:rsid w:val="587F2A05"/>
    <w:rsid w:val="58B103A4"/>
    <w:rsid w:val="58B112D4"/>
    <w:rsid w:val="59285BCE"/>
    <w:rsid w:val="59351858"/>
    <w:rsid w:val="599259E9"/>
    <w:rsid w:val="59CB4A2C"/>
    <w:rsid w:val="59D4163A"/>
    <w:rsid w:val="59D91B86"/>
    <w:rsid w:val="59EE34A6"/>
    <w:rsid w:val="5A187B26"/>
    <w:rsid w:val="5A3E1CDF"/>
    <w:rsid w:val="5A4F17D5"/>
    <w:rsid w:val="5A5963A4"/>
    <w:rsid w:val="5A7114E5"/>
    <w:rsid w:val="5ABF4CEB"/>
    <w:rsid w:val="5AC429C5"/>
    <w:rsid w:val="5C3F26AF"/>
    <w:rsid w:val="5D0D5760"/>
    <w:rsid w:val="5DC170D8"/>
    <w:rsid w:val="5DD23877"/>
    <w:rsid w:val="5DF66B28"/>
    <w:rsid w:val="5E3112DD"/>
    <w:rsid w:val="5E607042"/>
    <w:rsid w:val="5E6332CE"/>
    <w:rsid w:val="5E9A7FEE"/>
    <w:rsid w:val="5EAE58CA"/>
    <w:rsid w:val="5ECC270A"/>
    <w:rsid w:val="5F747351"/>
    <w:rsid w:val="5F7F73C2"/>
    <w:rsid w:val="5F9C27E3"/>
    <w:rsid w:val="5FE5531C"/>
    <w:rsid w:val="5FF9095B"/>
    <w:rsid w:val="60021FC7"/>
    <w:rsid w:val="600734E4"/>
    <w:rsid w:val="60411A37"/>
    <w:rsid w:val="605E48C5"/>
    <w:rsid w:val="609D7766"/>
    <w:rsid w:val="60DE0C51"/>
    <w:rsid w:val="60F44CBD"/>
    <w:rsid w:val="61291C9B"/>
    <w:rsid w:val="612C2AD6"/>
    <w:rsid w:val="6134076D"/>
    <w:rsid w:val="615D0EE2"/>
    <w:rsid w:val="61631617"/>
    <w:rsid w:val="61B5434B"/>
    <w:rsid w:val="61DF78F9"/>
    <w:rsid w:val="627A1002"/>
    <w:rsid w:val="62973241"/>
    <w:rsid w:val="62C35E0C"/>
    <w:rsid w:val="62F9296A"/>
    <w:rsid w:val="634C78AB"/>
    <w:rsid w:val="63716EC6"/>
    <w:rsid w:val="63723F5D"/>
    <w:rsid w:val="63A2271E"/>
    <w:rsid w:val="63B41BB0"/>
    <w:rsid w:val="63B50788"/>
    <w:rsid w:val="63BA4E72"/>
    <w:rsid w:val="648F5ADF"/>
    <w:rsid w:val="65183A9D"/>
    <w:rsid w:val="65230D6E"/>
    <w:rsid w:val="652C4386"/>
    <w:rsid w:val="668A166A"/>
    <w:rsid w:val="66C2508E"/>
    <w:rsid w:val="66E55E31"/>
    <w:rsid w:val="6732696D"/>
    <w:rsid w:val="67AC3CA3"/>
    <w:rsid w:val="67E7585C"/>
    <w:rsid w:val="6861124B"/>
    <w:rsid w:val="688024E6"/>
    <w:rsid w:val="68A33256"/>
    <w:rsid w:val="68A33FC6"/>
    <w:rsid w:val="68E4264E"/>
    <w:rsid w:val="6A0961EA"/>
    <w:rsid w:val="6A48570C"/>
    <w:rsid w:val="6A5B24CC"/>
    <w:rsid w:val="6A6743D2"/>
    <w:rsid w:val="6A9642F1"/>
    <w:rsid w:val="6AB447A5"/>
    <w:rsid w:val="6AC976D4"/>
    <w:rsid w:val="6AEA1A38"/>
    <w:rsid w:val="6B0B7DAB"/>
    <w:rsid w:val="6B2B150B"/>
    <w:rsid w:val="6B2D47E7"/>
    <w:rsid w:val="6B9F0F6C"/>
    <w:rsid w:val="6C066492"/>
    <w:rsid w:val="6C8C3392"/>
    <w:rsid w:val="6CA6353C"/>
    <w:rsid w:val="6D1C2D95"/>
    <w:rsid w:val="6D1E01B4"/>
    <w:rsid w:val="6D83283D"/>
    <w:rsid w:val="6DA67CAC"/>
    <w:rsid w:val="6E5D0491"/>
    <w:rsid w:val="6E760663"/>
    <w:rsid w:val="6ED253ED"/>
    <w:rsid w:val="6F4470EF"/>
    <w:rsid w:val="6F5B23CC"/>
    <w:rsid w:val="6FBB3203"/>
    <w:rsid w:val="6FCE721F"/>
    <w:rsid w:val="70A51666"/>
    <w:rsid w:val="70C572DB"/>
    <w:rsid w:val="70DC6C9A"/>
    <w:rsid w:val="70F214D9"/>
    <w:rsid w:val="71373887"/>
    <w:rsid w:val="71554E3D"/>
    <w:rsid w:val="71783F3D"/>
    <w:rsid w:val="71AC01E3"/>
    <w:rsid w:val="71C01FDA"/>
    <w:rsid w:val="72B14697"/>
    <w:rsid w:val="72CB1E47"/>
    <w:rsid w:val="72DD0F56"/>
    <w:rsid w:val="72DE5D65"/>
    <w:rsid w:val="73532EFF"/>
    <w:rsid w:val="742F30F7"/>
    <w:rsid w:val="74754082"/>
    <w:rsid w:val="74AC4202"/>
    <w:rsid w:val="74B06C06"/>
    <w:rsid w:val="75104DFA"/>
    <w:rsid w:val="7565677A"/>
    <w:rsid w:val="75BE5729"/>
    <w:rsid w:val="75E654F2"/>
    <w:rsid w:val="75F97A40"/>
    <w:rsid w:val="76024F88"/>
    <w:rsid w:val="764112DA"/>
    <w:rsid w:val="76BB222C"/>
    <w:rsid w:val="77260942"/>
    <w:rsid w:val="772750BF"/>
    <w:rsid w:val="774070AC"/>
    <w:rsid w:val="776E4808"/>
    <w:rsid w:val="77C83101"/>
    <w:rsid w:val="77D805F9"/>
    <w:rsid w:val="78345DDA"/>
    <w:rsid w:val="797A7C8F"/>
    <w:rsid w:val="79C21F52"/>
    <w:rsid w:val="7A3F6090"/>
    <w:rsid w:val="7A60258D"/>
    <w:rsid w:val="7AAC6D0A"/>
    <w:rsid w:val="7AB421E4"/>
    <w:rsid w:val="7AC36B4A"/>
    <w:rsid w:val="7AD24297"/>
    <w:rsid w:val="7B0B46BA"/>
    <w:rsid w:val="7B28679C"/>
    <w:rsid w:val="7B31010B"/>
    <w:rsid w:val="7B681EA5"/>
    <w:rsid w:val="7C151F7B"/>
    <w:rsid w:val="7C6E4C43"/>
    <w:rsid w:val="7C722AB7"/>
    <w:rsid w:val="7C7D69D8"/>
    <w:rsid w:val="7D126254"/>
    <w:rsid w:val="7D2047A9"/>
    <w:rsid w:val="7D672DB4"/>
    <w:rsid w:val="7DCB0D9E"/>
    <w:rsid w:val="7DD56578"/>
    <w:rsid w:val="7DEB7B49"/>
    <w:rsid w:val="7E2A3D7D"/>
    <w:rsid w:val="7E431733"/>
    <w:rsid w:val="7EA94543"/>
    <w:rsid w:val="7EE75955"/>
    <w:rsid w:val="7F2F76D0"/>
    <w:rsid w:val="7F860D35"/>
    <w:rsid w:val="7FE8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sz w:val="18"/>
      <w:szCs w:val="18"/>
    </w:rPr>
  </w:style>
  <w:style w:type="paragraph" w:styleId="6">
    <w:name w:val="Normal Indent"/>
    <w:basedOn w:val="1"/>
    <w:qFormat/>
    <w:uiPriority w:val="0"/>
    <w:pPr>
      <w:ind w:firstLine="200" w:firstLineChars="200"/>
    </w:pPr>
    <w:rPr>
      <w:szCs w:val="24"/>
    </w:rPr>
  </w:style>
  <w:style w:type="paragraph" w:styleId="7">
    <w:name w:val="index 5"/>
    <w:basedOn w:val="1"/>
    <w:next w:val="1"/>
    <w:unhideWhenUsed/>
    <w:qFormat/>
    <w:uiPriority w:val="0"/>
    <w:pPr>
      <w:ind w:left="800" w:leftChars="800"/>
    </w:pPr>
    <w:rPr>
      <w:rFonts w:ascii="Calibri" w:hAnsi="Calibri"/>
      <w:szCs w:val="24"/>
    </w:rPr>
  </w:style>
  <w:style w:type="paragraph" w:styleId="8">
    <w:name w:val="annotation text"/>
    <w:basedOn w:val="1"/>
    <w:semiHidden/>
    <w:unhideWhenUsed/>
    <w:qFormat/>
    <w:uiPriority w:val="99"/>
    <w:pPr>
      <w:jc w:val="left"/>
    </w:pPr>
  </w:style>
  <w:style w:type="paragraph" w:styleId="9">
    <w:name w:val="Body Text"/>
    <w:basedOn w:val="1"/>
    <w:link w:val="66"/>
    <w:unhideWhenUsed/>
    <w:qFormat/>
    <w:uiPriority w:val="99"/>
    <w:pPr>
      <w:jc w:val="left"/>
    </w:pPr>
    <w:rPr>
      <w:bCs/>
      <w:sz w:val="18"/>
      <w:szCs w:val="24"/>
    </w:rPr>
  </w:style>
  <w:style w:type="paragraph" w:styleId="10">
    <w:name w:val="Body Text Indent"/>
    <w:basedOn w:val="1"/>
    <w:next w:val="11"/>
    <w:unhideWhenUsed/>
    <w:qFormat/>
    <w:uiPriority w:val="99"/>
    <w:pPr>
      <w:spacing w:after="120"/>
      <w:ind w:left="420" w:leftChars="200"/>
    </w:pPr>
  </w:style>
  <w:style w:type="paragraph" w:styleId="11">
    <w:name w:val="footer"/>
    <w:basedOn w:val="1"/>
    <w:link w:val="46"/>
    <w:unhideWhenUsed/>
    <w:qFormat/>
    <w:uiPriority w:val="0"/>
    <w:pPr>
      <w:tabs>
        <w:tab w:val="center" w:pos="4153"/>
        <w:tab w:val="right" w:pos="8306"/>
      </w:tabs>
      <w:snapToGrid w:val="0"/>
      <w:jc w:val="left"/>
    </w:pPr>
    <w:rPr>
      <w:sz w:val="18"/>
      <w:szCs w:val="18"/>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ind w:left="420"/>
      <w:jc w:val="left"/>
    </w:pPr>
    <w:rPr>
      <w:i/>
      <w:iCs/>
      <w:sz w:val="20"/>
      <w:szCs w:val="20"/>
    </w:rPr>
  </w:style>
  <w:style w:type="paragraph" w:styleId="14">
    <w:name w:val="Plain Text"/>
    <w:basedOn w:val="1"/>
    <w:qFormat/>
    <w:uiPriority w:val="0"/>
    <w:rPr>
      <w:rFonts w:ascii="宋体" w:hAnsi="Courier New"/>
      <w:szCs w:val="20"/>
    </w:rPr>
  </w:style>
  <w:style w:type="paragraph" w:styleId="15">
    <w:name w:val="toc 8"/>
    <w:basedOn w:val="1"/>
    <w:next w:val="1"/>
    <w:unhideWhenUsed/>
    <w:qFormat/>
    <w:uiPriority w:val="39"/>
    <w:pPr>
      <w:ind w:left="1470"/>
      <w:jc w:val="left"/>
    </w:pPr>
    <w:rPr>
      <w:sz w:val="18"/>
      <w:szCs w:val="18"/>
    </w:rPr>
  </w:style>
  <w:style w:type="paragraph" w:styleId="16">
    <w:name w:val="Date"/>
    <w:basedOn w:val="1"/>
    <w:next w:val="1"/>
    <w:link w:val="52"/>
    <w:unhideWhenUsed/>
    <w:qFormat/>
    <w:uiPriority w:val="99"/>
    <w:pPr>
      <w:ind w:left="100" w:leftChars="2500"/>
    </w:pPr>
    <w:rPr>
      <w:rFonts w:asciiTheme="minorHAnsi" w:hAnsiTheme="minorHAnsi" w:eastAsiaTheme="minorEastAsia" w:cstheme="minorBidi"/>
    </w:rPr>
  </w:style>
  <w:style w:type="paragraph" w:styleId="17">
    <w:name w:val="Balloon Text"/>
    <w:basedOn w:val="1"/>
    <w:link w:val="50"/>
    <w:unhideWhenUsed/>
    <w:qFormat/>
    <w:uiPriority w:val="99"/>
    <w:rPr>
      <w:rFonts w:asciiTheme="minorHAnsi" w:hAnsiTheme="minorHAnsi" w:eastAsiaTheme="minorEastAsia" w:cstheme="minorBidi"/>
      <w:sz w:val="18"/>
      <w:szCs w:val="18"/>
    </w:rPr>
  </w:style>
  <w:style w:type="paragraph" w:styleId="18">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Subtitle"/>
    <w:basedOn w:val="1"/>
    <w:next w:val="1"/>
    <w:link w:val="63"/>
    <w:qFormat/>
    <w:uiPriority w:val="11"/>
    <w:pPr>
      <w:spacing w:before="240" w:after="60" w:line="312" w:lineRule="auto"/>
      <w:jc w:val="center"/>
      <w:outlineLvl w:val="1"/>
    </w:pPr>
    <w:rPr>
      <w:rFonts w:ascii="Calibri Light" w:hAnsi="Calibri Light"/>
      <w:b/>
      <w:bCs/>
      <w:kern w:val="28"/>
      <w:sz w:val="32"/>
      <w:szCs w:val="32"/>
    </w:rPr>
  </w:style>
  <w:style w:type="paragraph" w:styleId="22">
    <w:name w:val="toc 6"/>
    <w:basedOn w:val="1"/>
    <w:next w:val="1"/>
    <w:unhideWhenUsed/>
    <w:qFormat/>
    <w:uiPriority w:val="39"/>
    <w:pPr>
      <w:ind w:left="1050"/>
      <w:jc w:val="left"/>
    </w:pPr>
    <w:rPr>
      <w:sz w:val="18"/>
      <w:szCs w:val="18"/>
    </w:rPr>
  </w:style>
  <w:style w:type="paragraph" w:styleId="23">
    <w:name w:val="table of figures"/>
    <w:basedOn w:val="1"/>
    <w:next w:val="1"/>
    <w:semiHidden/>
    <w:unhideWhenUsed/>
    <w:qFormat/>
    <w:uiPriority w:val="99"/>
    <w:pPr>
      <w:ind w:leftChars="200" w:hanging="200" w:hangingChars="200"/>
    </w:pPr>
  </w:style>
  <w:style w:type="paragraph" w:styleId="24">
    <w:name w:val="toc 2"/>
    <w:basedOn w:val="1"/>
    <w:next w:val="1"/>
    <w:unhideWhenUsed/>
    <w:qFormat/>
    <w:uiPriority w:val="39"/>
    <w:pPr>
      <w:ind w:left="210"/>
      <w:jc w:val="left"/>
    </w:pPr>
    <w:rPr>
      <w:smallCaps/>
      <w:sz w:val="20"/>
      <w:szCs w:val="20"/>
    </w:rPr>
  </w:style>
  <w:style w:type="paragraph" w:styleId="25">
    <w:name w:val="toc 9"/>
    <w:basedOn w:val="1"/>
    <w:next w:val="1"/>
    <w:unhideWhenUsed/>
    <w:qFormat/>
    <w:uiPriority w:val="39"/>
    <w:pPr>
      <w:ind w:left="1680"/>
      <w:jc w:val="left"/>
    </w:pPr>
    <w:rPr>
      <w:sz w:val="18"/>
      <w:szCs w:val="18"/>
    </w:rPr>
  </w:style>
  <w:style w:type="paragraph" w:styleId="26">
    <w:name w:val="Body Text First Indent"/>
    <w:basedOn w:val="9"/>
    <w:next w:val="27"/>
    <w:unhideWhenUsed/>
    <w:qFormat/>
    <w:uiPriority w:val="99"/>
    <w:pPr>
      <w:ind w:firstLine="420" w:firstLineChars="100"/>
    </w:pPr>
    <w:rPr>
      <w:rFonts w:ascii="Times New Roman"/>
      <w:sz w:val="24"/>
    </w:rPr>
  </w:style>
  <w:style w:type="paragraph" w:customStyle="1" w:styleId="27">
    <w:name w:val="段落正文"/>
    <w:basedOn w:val="1"/>
    <w:qFormat/>
    <w:uiPriority w:val="99"/>
    <w:pPr>
      <w:spacing w:beforeLines="50" w:line="360" w:lineRule="auto"/>
      <w:ind w:firstLine="200" w:firstLineChars="200"/>
    </w:pPr>
    <w:rPr>
      <w:spacing w:val="2"/>
      <w:sz w:val="24"/>
      <w:szCs w:val="20"/>
    </w:rPr>
  </w:style>
  <w:style w:type="paragraph" w:styleId="28">
    <w:name w:val="Body Text First Indent 2"/>
    <w:basedOn w:val="10"/>
    <w:next w:val="7"/>
    <w:qFormat/>
    <w:uiPriority w:val="0"/>
    <w:pPr>
      <w:ind w:firstLine="420" w:firstLineChars="200"/>
    </w:pPr>
    <w:rPr>
      <w:rFonts w:ascii="Calibri" w:hAnsi="Calibri" w:eastAsia="宋体" w:cs="Times New Roman"/>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99"/>
    <w:rPr>
      <w:b/>
      <w:bCs/>
    </w:rPr>
  </w:style>
  <w:style w:type="character" w:styleId="33">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unhideWhenUsed/>
    <w:qFormat/>
    <w:uiPriority w:val="99"/>
    <w:rPr>
      <w:color w:val="0563C1"/>
      <w:u w:val="single"/>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monospace" w:hAnsi="monospace" w:eastAsia="monospace" w:cs="monospace"/>
      <w:sz w:val="20"/>
    </w:rPr>
  </w:style>
  <w:style w:type="character" w:styleId="43">
    <w:name w:val="HTML Sample"/>
    <w:basedOn w:val="31"/>
    <w:semiHidden/>
    <w:unhideWhenUsed/>
    <w:qFormat/>
    <w:uiPriority w:val="99"/>
    <w:rPr>
      <w:rFonts w:ascii="monospace" w:hAnsi="monospace" w:eastAsia="monospace" w:cs="monospace"/>
    </w:rPr>
  </w:style>
  <w:style w:type="paragraph" w:customStyle="1" w:styleId="44">
    <w:name w:val="文档正文"/>
    <w:basedOn w:val="1"/>
    <w:qFormat/>
    <w:uiPriority w:val="99"/>
    <w:pPr>
      <w:adjustRightInd w:val="0"/>
      <w:spacing w:line="480" w:lineRule="atLeast"/>
      <w:ind w:firstLine="567" w:firstLineChars="200"/>
      <w:textAlignment w:val="baseline"/>
    </w:pPr>
    <w:rPr>
      <w:rFonts w:ascii="长城仿宋"/>
      <w:kern w:val="0"/>
    </w:rPr>
  </w:style>
  <w:style w:type="character" w:customStyle="1" w:styleId="45">
    <w:name w:val="页眉 Char"/>
    <w:basedOn w:val="31"/>
    <w:link w:val="18"/>
    <w:qFormat/>
    <w:uiPriority w:val="99"/>
    <w:rPr>
      <w:sz w:val="18"/>
      <w:szCs w:val="18"/>
    </w:rPr>
  </w:style>
  <w:style w:type="character" w:customStyle="1" w:styleId="46">
    <w:name w:val="页脚 Char"/>
    <w:basedOn w:val="31"/>
    <w:link w:val="11"/>
    <w:qFormat/>
    <w:uiPriority w:val="99"/>
    <w:rPr>
      <w:sz w:val="18"/>
      <w:szCs w:val="18"/>
    </w:rPr>
  </w:style>
  <w:style w:type="character" w:customStyle="1" w:styleId="47">
    <w:name w:val="标题 1 Char"/>
    <w:basedOn w:val="31"/>
    <w:link w:val="2"/>
    <w:qFormat/>
    <w:uiPriority w:val="9"/>
    <w:rPr>
      <w:rFonts w:ascii="Calibri" w:hAnsi="Calibri" w:eastAsia="宋体" w:cs="Times New Roman"/>
      <w:b/>
      <w:bCs/>
      <w:kern w:val="44"/>
      <w:sz w:val="44"/>
      <w:szCs w:val="44"/>
    </w:rPr>
  </w:style>
  <w:style w:type="character" w:customStyle="1" w:styleId="48">
    <w:name w:val="标题 2 Char"/>
    <w:basedOn w:val="31"/>
    <w:link w:val="3"/>
    <w:qFormat/>
    <w:uiPriority w:val="9"/>
    <w:rPr>
      <w:rFonts w:ascii="Calibri Light" w:hAnsi="Calibri Light" w:eastAsia="宋体" w:cs="Times New Roman"/>
      <w:b/>
      <w:bCs/>
      <w:sz w:val="32"/>
      <w:szCs w:val="32"/>
    </w:rPr>
  </w:style>
  <w:style w:type="character" w:customStyle="1" w:styleId="49">
    <w:name w:val="标题 4 Char"/>
    <w:basedOn w:val="31"/>
    <w:link w:val="4"/>
    <w:qFormat/>
    <w:uiPriority w:val="0"/>
    <w:rPr>
      <w:rFonts w:ascii="Cambria" w:hAnsi="Cambria" w:eastAsia="宋体" w:cs="Times New Roman"/>
      <w:b/>
      <w:bCs/>
      <w:sz w:val="28"/>
      <w:szCs w:val="28"/>
    </w:rPr>
  </w:style>
  <w:style w:type="character" w:customStyle="1" w:styleId="50">
    <w:name w:val="批注框文本 Char"/>
    <w:link w:val="17"/>
    <w:qFormat/>
    <w:uiPriority w:val="99"/>
    <w:rPr>
      <w:sz w:val="18"/>
      <w:szCs w:val="18"/>
    </w:rPr>
  </w:style>
  <w:style w:type="character" w:customStyle="1" w:styleId="51">
    <w:name w:val="font31"/>
    <w:qFormat/>
    <w:uiPriority w:val="99"/>
    <w:rPr>
      <w:rFonts w:ascii="宋体" w:hAnsi="宋体" w:eastAsia="宋体"/>
      <w:color w:val="000000"/>
      <w:sz w:val="21"/>
      <w:u w:val="none"/>
    </w:rPr>
  </w:style>
  <w:style w:type="character" w:customStyle="1" w:styleId="52">
    <w:name w:val="日期 Char"/>
    <w:basedOn w:val="31"/>
    <w:link w:val="16"/>
    <w:qFormat/>
    <w:uiPriority w:val="99"/>
  </w:style>
  <w:style w:type="character" w:customStyle="1" w:styleId="53">
    <w:name w:val="列出段落 Char"/>
    <w:link w:val="54"/>
    <w:qFormat/>
    <w:uiPriority w:val="34"/>
  </w:style>
  <w:style w:type="paragraph" w:styleId="54">
    <w:name w:val="List Paragraph"/>
    <w:basedOn w:val="1"/>
    <w:link w:val="53"/>
    <w:qFormat/>
    <w:uiPriority w:val="34"/>
    <w:pPr>
      <w:ind w:firstLine="420" w:firstLineChars="200"/>
    </w:pPr>
    <w:rPr>
      <w:rFonts w:asciiTheme="minorHAnsi" w:hAnsiTheme="minorHAnsi" w:eastAsiaTheme="minorEastAsia" w:cstheme="minorBidi"/>
    </w:rPr>
  </w:style>
  <w:style w:type="character" w:customStyle="1" w:styleId="55">
    <w:name w:val="日期 Char1"/>
    <w:basedOn w:val="31"/>
    <w:semiHidden/>
    <w:qFormat/>
    <w:uiPriority w:val="99"/>
    <w:rPr>
      <w:rFonts w:ascii="Calibri" w:hAnsi="Calibri" w:eastAsia="宋体" w:cs="Times New Roman"/>
    </w:rPr>
  </w:style>
  <w:style w:type="paragraph" w:customStyle="1" w:styleId="56">
    <w:name w:val="_正文段落"/>
    <w:basedOn w:val="1"/>
    <w:qFormat/>
    <w:uiPriority w:val="0"/>
    <w:pPr>
      <w:spacing w:beforeLines="15" w:afterLines="15" w:line="360" w:lineRule="auto"/>
      <w:ind w:firstLine="200" w:firstLineChars="200"/>
    </w:pPr>
    <w:rPr>
      <w:rFonts w:ascii="宋体" w:hAnsi="Times New Roman" w:eastAsia="仿宋_GB2312"/>
      <w:kern w:val="0"/>
      <w:sz w:val="28"/>
      <w:szCs w:val="24"/>
    </w:rPr>
  </w:style>
  <w:style w:type="paragraph" w:customStyle="1" w:styleId="57">
    <w:name w:val="List Paragraph1"/>
    <w:basedOn w:val="1"/>
    <w:qFormat/>
    <w:uiPriority w:val="99"/>
    <w:pPr>
      <w:ind w:firstLine="420" w:firstLineChars="200"/>
    </w:pPr>
    <w:rPr>
      <w:szCs w:val="21"/>
    </w:rPr>
  </w:style>
  <w:style w:type="paragraph" w:customStyle="1" w:styleId="58">
    <w:name w:val="列出段落3"/>
    <w:basedOn w:val="1"/>
    <w:qFormat/>
    <w:uiPriority w:val="99"/>
    <w:pPr>
      <w:ind w:firstLine="420" w:firstLineChars="200"/>
    </w:pPr>
    <w:rPr>
      <w:szCs w:val="21"/>
    </w:rPr>
  </w:style>
  <w:style w:type="character" w:customStyle="1" w:styleId="59">
    <w:name w:val="批注框文本 Char1"/>
    <w:basedOn w:val="31"/>
    <w:semiHidden/>
    <w:qFormat/>
    <w:uiPriority w:val="99"/>
    <w:rPr>
      <w:rFonts w:ascii="Calibri" w:hAnsi="Calibri" w:eastAsia="宋体" w:cs="Times New Roman"/>
      <w:sz w:val="18"/>
      <w:szCs w:val="18"/>
    </w:rPr>
  </w:style>
  <w:style w:type="paragraph" w:customStyle="1" w:styleId="60">
    <w:name w:val="列出段落2"/>
    <w:basedOn w:val="1"/>
    <w:qFormat/>
    <w:uiPriority w:val="99"/>
    <w:pPr>
      <w:ind w:firstLine="420" w:firstLineChars="200"/>
    </w:pPr>
    <w:rPr>
      <w:szCs w:val="21"/>
    </w:rPr>
  </w:style>
  <w:style w:type="paragraph" w:customStyle="1" w:styleId="61">
    <w:name w:val="列出段落1"/>
    <w:basedOn w:val="1"/>
    <w:qFormat/>
    <w:uiPriority w:val="0"/>
    <w:pPr>
      <w:ind w:firstLine="420" w:firstLineChars="200"/>
    </w:pPr>
  </w:style>
  <w:style w:type="paragraph" w:customStyle="1" w:styleId="62">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5B5"/>
      <w:kern w:val="0"/>
      <w:sz w:val="32"/>
      <w:szCs w:val="32"/>
    </w:rPr>
  </w:style>
  <w:style w:type="character" w:customStyle="1" w:styleId="63">
    <w:name w:val="副标题 Char"/>
    <w:basedOn w:val="31"/>
    <w:link w:val="21"/>
    <w:qFormat/>
    <w:uiPriority w:val="11"/>
    <w:rPr>
      <w:rFonts w:ascii="Calibri Light" w:hAnsi="Calibri Light" w:eastAsia="宋体" w:cs="Times New Roman"/>
      <w:b/>
      <w:bCs/>
      <w:kern w:val="28"/>
      <w:sz w:val="32"/>
      <w:szCs w:val="32"/>
    </w:rPr>
  </w:style>
  <w:style w:type="paragraph" w:customStyle="1" w:styleId="64">
    <w:name w:val="TOC 标题1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5">
    <w:name w:val="列出段落4"/>
    <w:basedOn w:val="1"/>
    <w:qFormat/>
    <w:uiPriority w:val="0"/>
    <w:pPr>
      <w:ind w:firstLine="420" w:firstLineChars="200"/>
    </w:pPr>
    <w:rPr>
      <w:szCs w:val="21"/>
    </w:rPr>
  </w:style>
  <w:style w:type="character" w:customStyle="1" w:styleId="66">
    <w:name w:val="正文文本 Char"/>
    <w:basedOn w:val="31"/>
    <w:link w:val="9"/>
    <w:qFormat/>
    <w:uiPriority w:val="99"/>
    <w:rPr>
      <w:bCs/>
      <w:kern w:val="2"/>
      <w:sz w:val="18"/>
      <w:szCs w:val="24"/>
    </w:rPr>
  </w:style>
  <w:style w:type="character" w:customStyle="1" w:styleId="67">
    <w:name w:val="divider6"/>
    <w:basedOn w:val="31"/>
    <w:qFormat/>
    <w:uiPriority w:val="0"/>
    <w:rPr>
      <w:vanish/>
    </w:rPr>
  </w:style>
  <w:style w:type="character" w:customStyle="1" w:styleId="68">
    <w:name w:val="divider7"/>
    <w:basedOn w:val="31"/>
    <w:qFormat/>
    <w:uiPriority w:val="0"/>
    <w:rPr>
      <w:b/>
      <w:bCs/>
      <w:color w:val="999999"/>
    </w:rPr>
  </w:style>
  <w:style w:type="character" w:customStyle="1" w:styleId="69">
    <w:name w:val="diff-html-removed"/>
    <w:basedOn w:val="31"/>
    <w:qFormat/>
    <w:uiPriority w:val="0"/>
    <w:rPr>
      <w:strike/>
      <w:sz w:val="21"/>
      <w:szCs w:val="21"/>
      <w:shd w:val="clear" w:fill="FDC6C6"/>
    </w:rPr>
  </w:style>
  <w:style w:type="character" w:customStyle="1" w:styleId="70">
    <w:name w:val="diff-html-added"/>
    <w:basedOn w:val="31"/>
    <w:qFormat/>
    <w:uiPriority w:val="0"/>
    <w:rPr>
      <w:sz w:val="21"/>
      <w:szCs w:val="21"/>
      <w:shd w:val="clear" w:fill="CCFFCC"/>
    </w:rPr>
  </w:style>
  <w:style w:type="character" w:customStyle="1" w:styleId="71">
    <w:name w:val="diff-html-changed"/>
    <w:basedOn w:val="31"/>
    <w:qFormat/>
    <w:uiPriority w:val="0"/>
  </w:style>
  <w:style w:type="character" w:customStyle="1" w:styleId="72">
    <w:name w:val="nav-item-label4"/>
    <w:basedOn w:val="31"/>
    <w:qFormat/>
    <w:uiPriority w:val="0"/>
  </w:style>
  <w:style w:type="character" w:customStyle="1" w:styleId="73">
    <w:name w:val="fontstyle01"/>
    <w:basedOn w:val="31"/>
    <w:qFormat/>
    <w:uiPriority w:val="0"/>
    <w:rPr>
      <w:rFonts w:hint="default" w:ascii="MicrosoftYaHei" w:hAnsi="MicrosoftYaHei"/>
      <w:color w:val="000000"/>
      <w:sz w:val="22"/>
      <w:szCs w:val="22"/>
    </w:rPr>
  </w:style>
  <w:style w:type="character" w:customStyle="1" w:styleId="74">
    <w:name w:val="mini-outputtext1"/>
    <w:basedOn w:val="31"/>
    <w:qFormat/>
    <w:uiPriority w:val="0"/>
  </w:style>
  <w:style w:type="paragraph" w:customStyle="1" w:styleId="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图表目录1"/>
    <w:basedOn w:val="77"/>
    <w:next w:val="1"/>
    <w:unhideWhenUsed/>
    <w:qFormat/>
    <w:uiPriority w:val="99"/>
    <w:pPr>
      <w:ind w:left="200" w:leftChars="200" w:hanging="200" w:hangingChars="200"/>
    </w:pPr>
  </w:style>
  <w:style w:type="paragraph" w:customStyle="1" w:styleId="77">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8">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7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4196</Words>
  <Characters>4471</Characters>
  <Lines>31</Lines>
  <Paragraphs>70</Paragraphs>
  <TotalTime>0</TotalTime>
  <ScaleCrop>false</ScaleCrop>
  <LinksUpToDate>false</LinksUpToDate>
  <CharactersWithSpaces>4559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2021-06-09T05:49:00Z</dcterms:created>
  <dc:creator>LB</dc:creator>
  <cp:lastModifiedBy>久润招标</cp:lastModifiedBy>
  <cp:lastPrinted>2024-04-19T02:47:00Z</cp:lastPrinted>
  <dcterms:modified xsi:type="dcterms:W3CDTF">2025-07-07T08:22:56Z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FF84DB712FC442DA9CCBC58D0B91EB1F_13</vt:lpwstr>
  </property>
  <property fmtid="{D5CDD505-2E9C-101B-9397-08002B2CF9AE}" pid="4" name="KSOTemplateDocerSaveRecord">
    <vt:lpwstr>eyJoZGlkIjoiODE4ZDkzYjk1OTdjNWJmMDM4OGM0MTc5YjRlNTc4YjgiLCJ1c2VySWQiOiI2MjM0MTg1MDQifQ==</vt:lpwstr>
  </property>
</Properties>
</file>