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05C30">
      <w:pPr>
        <w:pStyle w:val="5"/>
        <w:jc w:val="center"/>
        <w:outlineLvl w:val="0"/>
        <w:rPr>
          <w:rFonts w:hint="eastAsia" w:ascii="仿宋" w:hAnsi="仿宋" w:eastAsia="仿宋" w:cs="仿宋"/>
          <w:highlight w:val="none"/>
        </w:rPr>
      </w:pPr>
      <w:r>
        <w:rPr>
          <w:rFonts w:hint="eastAsia" w:ascii="仿宋" w:hAnsi="仿宋" w:eastAsia="仿宋" w:cs="仿宋"/>
          <w:b/>
          <w:sz w:val="36"/>
          <w:highlight w:val="none"/>
        </w:rPr>
        <w:t>技术、服务及其他要求</w:t>
      </w:r>
    </w:p>
    <w:p w14:paraId="5B6490AC">
      <w:pPr>
        <w:pStyle w:val="5"/>
        <w:keepNext w:val="0"/>
        <w:keepLines w:val="0"/>
        <w:pageBreakBefore w:val="0"/>
        <w:widowControl/>
        <w:kinsoku/>
        <w:wordWrap/>
        <w:overflowPunct/>
        <w:topLinePunct w:val="0"/>
        <w:autoSpaceDE/>
        <w:autoSpaceDN/>
        <w:bidi w:val="0"/>
        <w:adjustRightInd/>
        <w:snapToGrid/>
        <w:spacing w:line="240" w:lineRule="auto"/>
        <w:ind w:firstLine="48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（注：本章的技术、服务及其他要求中，带“★”的要求为实质性要求。</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、代理机构应当根据项目实际要求合理设定，并在第五章符合性审查中明确响应要求。）</w:t>
      </w:r>
    </w:p>
    <w:p w14:paraId="7C6FE89F">
      <w:pPr>
        <w:pStyle w:val="5"/>
        <w:jc w:val="left"/>
        <w:outlineLvl w:val="1"/>
        <w:rPr>
          <w:rFonts w:hint="eastAsia" w:ascii="仿宋" w:hAnsi="仿宋" w:eastAsia="仿宋" w:cs="仿宋"/>
          <w:highlight w:val="none"/>
          <w:lang w:eastAsia="zh-CN"/>
        </w:rPr>
      </w:pPr>
      <w:r>
        <w:rPr>
          <w:rFonts w:hint="eastAsia" w:ascii="仿宋" w:hAnsi="仿宋" w:eastAsia="仿宋" w:cs="仿宋"/>
          <w:b/>
          <w:sz w:val="28"/>
          <w:highlight w:val="none"/>
        </w:rPr>
        <w:t>3.1.</w:t>
      </w:r>
      <w:r>
        <w:rPr>
          <w:rFonts w:hint="eastAsia" w:ascii="仿宋" w:hAnsi="仿宋" w:eastAsia="仿宋" w:cs="仿宋"/>
          <w:b/>
          <w:sz w:val="28"/>
          <w:highlight w:val="none"/>
          <w:lang w:val="en-US" w:eastAsia="zh-CN"/>
        </w:rPr>
        <w:t>标的情况</w:t>
      </w:r>
    </w:p>
    <w:tbl>
      <w:tblPr>
        <w:tblStyle w:val="3"/>
        <w:tblW w:w="4862"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3"/>
        <w:gridCol w:w="3320"/>
        <w:gridCol w:w="1906"/>
        <w:gridCol w:w="1109"/>
        <w:gridCol w:w="1209"/>
      </w:tblGrid>
      <w:tr w14:paraId="60773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6" w:hRule="atLeast"/>
          <w:jc w:val="center"/>
        </w:trPr>
        <w:tc>
          <w:tcPr>
            <w:tcW w:w="448" w:type="pct"/>
            <w:vAlign w:val="center"/>
          </w:tcPr>
          <w:p w14:paraId="7AF4AE26">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编号</w:t>
            </w:r>
          </w:p>
        </w:tc>
        <w:tc>
          <w:tcPr>
            <w:tcW w:w="2003" w:type="pct"/>
            <w:vAlign w:val="center"/>
          </w:tcPr>
          <w:p w14:paraId="48570C60">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标的名称</w:t>
            </w:r>
          </w:p>
        </w:tc>
        <w:tc>
          <w:tcPr>
            <w:tcW w:w="1149" w:type="pct"/>
            <w:vAlign w:val="center"/>
          </w:tcPr>
          <w:p w14:paraId="5C284F2D">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★最高单价限价（元）</w:t>
            </w:r>
          </w:p>
        </w:tc>
        <w:tc>
          <w:tcPr>
            <w:tcW w:w="669" w:type="pct"/>
            <w:vAlign w:val="center"/>
          </w:tcPr>
          <w:p w14:paraId="7D97406B">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729" w:type="pct"/>
            <w:vAlign w:val="center"/>
          </w:tcPr>
          <w:p w14:paraId="2ED4EABC">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计量</w:t>
            </w:r>
          </w:p>
          <w:p w14:paraId="5C287453">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r>
      <w:tr w14:paraId="38F75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48" w:type="pct"/>
            <w:vAlign w:val="center"/>
          </w:tcPr>
          <w:p w14:paraId="1C3B851F">
            <w:pPr>
              <w:pStyle w:val="5"/>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003" w:type="pct"/>
            <w:vAlign w:val="center"/>
          </w:tcPr>
          <w:p w14:paraId="48E9F4DC">
            <w:pPr>
              <w:pStyle w:val="5"/>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血细胞分离机分离吸附置换治疗套件（白细胞）配送服务</w:t>
            </w:r>
          </w:p>
        </w:tc>
        <w:tc>
          <w:tcPr>
            <w:tcW w:w="1149" w:type="pct"/>
            <w:vAlign w:val="center"/>
          </w:tcPr>
          <w:p w14:paraId="3DB2BE50">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1200</w:t>
            </w:r>
          </w:p>
        </w:tc>
        <w:tc>
          <w:tcPr>
            <w:tcW w:w="669" w:type="pct"/>
            <w:vAlign w:val="center"/>
          </w:tcPr>
          <w:p w14:paraId="044DFE7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46CF8636">
            <w:pPr>
              <w:widowControl/>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highlight w:val="none"/>
                <w:lang w:val="en-US" w:eastAsia="zh-CN"/>
              </w:rPr>
              <w:t>套</w:t>
            </w:r>
          </w:p>
        </w:tc>
      </w:tr>
      <w:tr w14:paraId="549E7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48" w:type="pct"/>
            <w:vAlign w:val="center"/>
          </w:tcPr>
          <w:p w14:paraId="49481228">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003" w:type="pct"/>
            <w:vAlign w:val="center"/>
          </w:tcPr>
          <w:p w14:paraId="4D33C619">
            <w:pPr>
              <w:pStyle w:val="5"/>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血浆置换组件配送服务</w:t>
            </w:r>
          </w:p>
        </w:tc>
        <w:tc>
          <w:tcPr>
            <w:tcW w:w="1149" w:type="pct"/>
            <w:vAlign w:val="center"/>
          </w:tcPr>
          <w:p w14:paraId="766D8220">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1295</w:t>
            </w:r>
          </w:p>
        </w:tc>
        <w:tc>
          <w:tcPr>
            <w:tcW w:w="669" w:type="pct"/>
            <w:vAlign w:val="center"/>
          </w:tcPr>
          <w:p w14:paraId="48FE3482">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78E7F3FD">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r>
      <w:tr w14:paraId="26E90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48" w:type="pct"/>
            <w:vAlign w:val="center"/>
          </w:tcPr>
          <w:p w14:paraId="4BF0387A">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003" w:type="pct"/>
            <w:vAlign w:val="center"/>
          </w:tcPr>
          <w:p w14:paraId="485E151E">
            <w:pPr>
              <w:pStyle w:val="5"/>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血小板套件配送服务</w:t>
            </w:r>
          </w:p>
        </w:tc>
        <w:tc>
          <w:tcPr>
            <w:tcW w:w="1149" w:type="pct"/>
            <w:vAlign w:val="center"/>
          </w:tcPr>
          <w:p w14:paraId="676914BD">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1295</w:t>
            </w:r>
          </w:p>
        </w:tc>
        <w:tc>
          <w:tcPr>
            <w:tcW w:w="669" w:type="pct"/>
            <w:vAlign w:val="center"/>
          </w:tcPr>
          <w:p w14:paraId="6A22182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039D5D59">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r>
      <w:tr w14:paraId="32754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jc w:val="center"/>
        </w:trPr>
        <w:tc>
          <w:tcPr>
            <w:tcW w:w="448" w:type="pct"/>
            <w:vAlign w:val="center"/>
          </w:tcPr>
          <w:p w14:paraId="627A184E">
            <w:pPr>
              <w:pStyle w:val="5"/>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03" w:type="pct"/>
            <w:vAlign w:val="center"/>
          </w:tcPr>
          <w:p w14:paraId="7EE897D5">
            <w:pPr>
              <w:pStyle w:val="5"/>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血细胞分离机分离吸附置换治疗套件（治疗）配送服务</w:t>
            </w:r>
          </w:p>
        </w:tc>
        <w:tc>
          <w:tcPr>
            <w:tcW w:w="1149" w:type="pct"/>
            <w:vAlign w:val="center"/>
          </w:tcPr>
          <w:p w14:paraId="62158BF6">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1930</w:t>
            </w:r>
          </w:p>
        </w:tc>
        <w:tc>
          <w:tcPr>
            <w:tcW w:w="669" w:type="pct"/>
            <w:vAlign w:val="center"/>
          </w:tcPr>
          <w:p w14:paraId="2CD1A75E">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按计划</w:t>
            </w:r>
          </w:p>
        </w:tc>
        <w:tc>
          <w:tcPr>
            <w:tcW w:w="729" w:type="pct"/>
            <w:vAlign w:val="center"/>
          </w:tcPr>
          <w:p w14:paraId="36DFFD1E">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套</w:t>
            </w:r>
          </w:p>
        </w:tc>
      </w:tr>
    </w:tbl>
    <w:p w14:paraId="519B04DC">
      <w:pPr>
        <w:pStyle w:val="5"/>
        <w:spacing w:line="360" w:lineRule="auto"/>
        <w:ind w:firstLine="480"/>
        <w:jc w:val="left"/>
        <w:rPr>
          <w:rFonts w:hint="eastAsia" w:ascii="仿宋" w:hAnsi="仿宋" w:eastAsia="仿宋" w:cs="仿宋"/>
          <w:b/>
          <w:sz w:val="28"/>
        </w:rPr>
      </w:pPr>
      <w:r>
        <w:rPr>
          <w:rFonts w:hint="eastAsia" w:ascii="仿宋" w:hAnsi="仿宋" w:eastAsia="仿宋" w:cs="仿宋"/>
          <w:sz w:val="24"/>
          <w:szCs w:val="24"/>
        </w:rPr>
        <w:t>★注：</w:t>
      </w:r>
      <w:r>
        <w:rPr>
          <w:rFonts w:hint="eastAsia" w:ascii="仿宋" w:hAnsi="仿宋" w:eastAsia="仿宋" w:cs="仿宋"/>
          <w:sz w:val="24"/>
          <w:szCs w:val="24"/>
          <w:lang w:eastAsia="zh-CN"/>
        </w:rPr>
        <w:t>竞选人</w:t>
      </w:r>
      <w:r>
        <w:rPr>
          <w:rFonts w:hint="eastAsia" w:ascii="仿宋" w:hAnsi="仿宋" w:eastAsia="仿宋" w:cs="仿宋"/>
          <w:sz w:val="24"/>
          <w:szCs w:val="24"/>
        </w:rPr>
        <w:t>响应产品应当明确品牌和规格型号并指向唯一产品，不能指向唯一产品的，应通过报价表唯一产品说明栏补充说明。</w:t>
      </w:r>
    </w:p>
    <w:p w14:paraId="13DB733C">
      <w:pPr>
        <w:pStyle w:val="5"/>
        <w:keepNext w:val="0"/>
        <w:keepLines w:val="0"/>
        <w:pageBreakBefore w:val="0"/>
        <w:kinsoku/>
        <w:wordWrap/>
        <w:overflowPunct/>
        <w:topLinePunct w:val="0"/>
        <w:autoSpaceDE/>
        <w:autoSpaceDN/>
        <w:bidi w:val="0"/>
        <w:adjustRightInd/>
        <w:snapToGrid/>
        <w:spacing w:line="360" w:lineRule="auto"/>
        <w:jc w:val="left"/>
        <w:textAlignment w:val="auto"/>
        <w:outlineLvl w:val="1"/>
        <w:rPr>
          <w:rFonts w:hint="eastAsia" w:ascii="Times New Roman" w:hAnsi="Times New Roman" w:eastAsia="仿宋"/>
          <w:color w:val="auto"/>
          <w:sz w:val="24"/>
        </w:rPr>
      </w:pPr>
      <w:r>
        <w:rPr>
          <w:rFonts w:hint="eastAsia" w:ascii="仿宋" w:hAnsi="仿宋" w:eastAsia="仿宋" w:cs="仿宋"/>
          <w:b/>
          <w:sz w:val="28"/>
        </w:rPr>
        <w:t>3.2.技术要求</w:t>
      </w:r>
    </w:p>
    <w:tbl>
      <w:tblPr>
        <w:tblStyle w:val="3"/>
        <w:tblW w:w="8330" w:type="dxa"/>
        <w:tblInd w:w="12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1820"/>
        <w:gridCol w:w="3397"/>
        <w:gridCol w:w="1123"/>
        <w:gridCol w:w="1240"/>
      </w:tblGrid>
      <w:tr w14:paraId="27248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50" w:type="dxa"/>
            <w:vAlign w:val="center"/>
          </w:tcPr>
          <w:p w14:paraId="32ADA145">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编号</w:t>
            </w:r>
          </w:p>
        </w:tc>
        <w:tc>
          <w:tcPr>
            <w:tcW w:w="1820" w:type="dxa"/>
            <w:vAlign w:val="center"/>
          </w:tcPr>
          <w:p w14:paraId="010336EB">
            <w:pPr>
              <w:pStyle w:val="5"/>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标的名称</w:t>
            </w:r>
          </w:p>
        </w:tc>
        <w:tc>
          <w:tcPr>
            <w:tcW w:w="3397" w:type="dxa"/>
            <w:vAlign w:val="center"/>
          </w:tcPr>
          <w:p w14:paraId="54A8B61D">
            <w:pPr>
              <w:pStyle w:val="5"/>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★配送标的适应症/预期用途</w:t>
            </w:r>
          </w:p>
        </w:tc>
        <w:tc>
          <w:tcPr>
            <w:tcW w:w="1123" w:type="dxa"/>
            <w:vAlign w:val="center"/>
          </w:tcPr>
          <w:p w14:paraId="774E1026">
            <w:pPr>
              <w:pStyle w:val="5"/>
              <w:jc w:val="center"/>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参考尺寸</w:t>
            </w:r>
            <w:r>
              <w:rPr>
                <w:rFonts w:hint="eastAsia" w:ascii="仿宋" w:hAnsi="仿宋" w:eastAsia="仿宋" w:cs="仿宋"/>
                <w:b/>
                <w:bCs/>
                <w:sz w:val="24"/>
                <w:szCs w:val="24"/>
                <w:lang w:val="en-US" w:eastAsia="zh-CN"/>
              </w:rPr>
              <w:t>/规格</w:t>
            </w:r>
          </w:p>
        </w:tc>
        <w:tc>
          <w:tcPr>
            <w:tcW w:w="1240" w:type="dxa"/>
            <w:vAlign w:val="center"/>
          </w:tcPr>
          <w:p w14:paraId="3D535501">
            <w:pPr>
              <w:pStyle w:val="5"/>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是否提供样品</w:t>
            </w:r>
          </w:p>
        </w:tc>
      </w:tr>
      <w:tr w14:paraId="1E661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50" w:type="dxa"/>
            <w:vAlign w:val="center"/>
          </w:tcPr>
          <w:p w14:paraId="6A61BB8E">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20" w:type="dxa"/>
            <w:vAlign w:val="center"/>
          </w:tcPr>
          <w:p w14:paraId="3DE7069A">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b w:val="0"/>
                <w:bCs w:val="0"/>
                <w:color w:val="auto"/>
                <w:sz w:val="24"/>
                <w:szCs w:val="24"/>
                <w:highlight w:val="none"/>
                <w:shd w:val="clear" w:color="auto" w:fill="auto"/>
                <w:lang w:val="en-US" w:eastAsia="zh-CN"/>
              </w:rPr>
              <w:t>血细胞分离机分离吸附置换治疗套件（白细胞）配送服务</w:t>
            </w:r>
          </w:p>
        </w:tc>
        <w:tc>
          <w:tcPr>
            <w:tcW w:w="3397" w:type="dxa"/>
            <w:vAlign w:val="center"/>
          </w:tcPr>
          <w:p w14:paraId="4669AC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1.干细胞、淋巴细胞采集主要用于治疗血液系统疾病、肿瘤等疾病；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2.白细胞去除主要用于白细胞异常增多相关疾病。</w:t>
            </w:r>
          </w:p>
        </w:tc>
        <w:tc>
          <w:tcPr>
            <w:tcW w:w="1123" w:type="dxa"/>
            <w:vAlign w:val="center"/>
          </w:tcPr>
          <w:p w14:paraId="768F9F08">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40" w:type="dxa"/>
            <w:vAlign w:val="center"/>
          </w:tcPr>
          <w:p w14:paraId="3717DF30">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tc>
      </w:tr>
      <w:tr w14:paraId="3A58A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50" w:type="dxa"/>
            <w:vAlign w:val="center"/>
          </w:tcPr>
          <w:p w14:paraId="5F4CA551">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820" w:type="dxa"/>
            <w:vAlign w:val="center"/>
          </w:tcPr>
          <w:p w14:paraId="529ABFF0">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b w:val="0"/>
                <w:bCs w:val="0"/>
                <w:color w:val="auto"/>
                <w:sz w:val="24"/>
                <w:szCs w:val="24"/>
                <w:highlight w:val="none"/>
                <w:shd w:val="clear" w:color="auto" w:fill="auto"/>
                <w:lang w:val="en-US" w:eastAsia="zh-CN"/>
              </w:rPr>
              <w:t>血浆置换组件配送服务</w:t>
            </w:r>
          </w:p>
        </w:tc>
        <w:tc>
          <w:tcPr>
            <w:tcW w:w="3397" w:type="dxa"/>
            <w:vAlign w:val="center"/>
          </w:tcPr>
          <w:p w14:paraId="415152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1.自身免疫性疾病：如系统性红斑狼疮、类风湿性关节炎等；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2.神经系统疾病：如重症肌无力、多发性硬化等；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3.肾脏疾病：如肾小球肾炎、血管炎性肾损害等；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4.血液系统疾病：如血栓性血小板减少性紫癜（TTP）、溶血性贫血等；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5.中毒：如蛇毒、重金属中毒等；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6.真性红细胞增多症、慢性阻塞性肺疾病继发红细胞增多、肾移植术后继发红细胞增多、心血管病继发红细胞增多、高海拔地域降至低海拔红细胞增多、肾癌合并继发红细胞增多症。</w:t>
            </w:r>
          </w:p>
        </w:tc>
        <w:tc>
          <w:tcPr>
            <w:tcW w:w="1123" w:type="dxa"/>
            <w:vAlign w:val="center"/>
          </w:tcPr>
          <w:p w14:paraId="241557B7">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40" w:type="dxa"/>
            <w:vAlign w:val="center"/>
          </w:tcPr>
          <w:p w14:paraId="0218884C">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tc>
      </w:tr>
      <w:tr w14:paraId="67373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50" w:type="dxa"/>
            <w:vAlign w:val="center"/>
          </w:tcPr>
          <w:p w14:paraId="5D4DF394">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820" w:type="dxa"/>
            <w:vAlign w:val="center"/>
          </w:tcPr>
          <w:p w14:paraId="2FBE3D71">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b w:val="0"/>
                <w:bCs w:val="0"/>
                <w:color w:val="auto"/>
                <w:sz w:val="24"/>
                <w:szCs w:val="24"/>
                <w:highlight w:val="none"/>
                <w:shd w:val="clear" w:color="auto" w:fill="auto"/>
                <w:lang w:val="en-US" w:eastAsia="zh-CN"/>
              </w:rPr>
              <w:t>血小板套件配送服务</w:t>
            </w:r>
          </w:p>
        </w:tc>
        <w:tc>
          <w:tcPr>
            <w:tcW w:w="3397" w:type="dxa"/>
            <w:vAlign w:val="center"/>
          </w:tcPr>
          <w:p w14:paraId="79E5EC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1.血小板异常增多；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2.PRP采集治疗，用于骨关节，薄型子宫内膜修复，斑秃脱发，烧伤修复等。</w:t>
            </w:r>
          </w:p>
        </w:tc>
        <w:tc>
          <w:tcPr>
            <w:tcW w:w="1123" w:type="dxa"/>
            <w:vAlign w:val="center"/>
          </w:tcPr>
          <w:p w14:paraId="46724565">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40" w:type="dxa"/>
            <w:vAlign w:val="center"/>
          </w:tcPr>
          <w:p w14:paraId="7C2CE9C5">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tc>
      </w:tr>
      <w:tr w14:paraId="3CF8A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750" w:type="dxa"/>
            <w:vAlign w:val="center"/>
          </w:tcPr>
          <w:p w14:paraId="54A0A501">
            <w:pPr>
              <w:pStyle w:val="5"/>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820" w:type="dxa"/>
            <w:vAlign w:val="center"/>
          </w:tcPr>
          <w:p w14:paraId="1909D940">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仿宋" w:hAnsi="仿宋" w:eastAsia="仿宋" w:cs="仿宋"/>
                <w:b w:val="0"/>
                <w:bCs w:val="0"/>
                <w:color w:val="auto"/>
                <w:sz w:val="24"/>
                <w:szCs w:val="24"/>
                <w:highlight w:val="none"/>
                <w:shd w:val="clear" w:color="auto" w:fill="auto"/>
                <w:lang w:val="en-US" w:eastAsia="zh-CN"/>
              </w:rPr>
              <w:t>血细胞分离机分离吸附置换治疗套件（治疗）配送服务</w:t>
            </w:r>
          </w:p>
        </w:tc>
        <w:tc>
          <w:tcPr>
            <w:tcW w:w="3397" w:type="dxa"/>
            <w:vAlign w:val="center"/>
          </w:tcPr>
          <w:p w14:paraId="35453E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1.肥胖有降脂需求的患者，如高脂血症、重度血脂异常等；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2.顽固性高脂血症患者，即那些通过运动、饮食、药物治疗无效或不耐受的患者；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3.心脑血管疾病、肾脏疾病（如糖尿病肾病、肾移植）、急性胰腺炎伴严重脂质代谢紊乱、代谢综合征等患者；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4、去胆红素、去炎症因子。</w:t>
            </w:r>
          </w:p>
        </w:tc>
        <w:tc>
          <w:tcPr>
            <w:tcW w:w="1123" w:type="dxa"/>
            <w:vAlign w:val="center"/>
          </w:tcPr>
          <w:p w14:paraId="63BF1AA6">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w:t>
            </w:r>
          </w:p>
        </w:tc>
        <w:tc>
          <w:tcPr>
            <w:tcW w:w="1240" w:type="dxa"/>
            <w:vAlign w:val="center"/>
          </w:tcPr>
          <w:p w14:paraId="33706DB5">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w:t>
            </w:r>
          </w:p>
        </w:tc>
      </w:tr>
      <w:tr w14:paraId="2B46B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trPr>
        <w:tc>
          <w:tcPr>
            <w:tcW w:w="8330" w:type="dxa"/>
            <w:gridSpan w:val="5"/>
            <w:vAlign w:val="center"/>
          </w:tcPr>
          <w:p w14:paraId="652137BD">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★配送标的需适配机型：血细胞分离机（品牌：费森尤斯卡比，规格型号：COM.TEC）。</w:t>
            </w:r>
          </w:p>
        </w:tc>
      </w:tr>
    </w:tbl>
    <w:p w14:paraId="5A113A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仿宋" w:hAnsi="仿宋" w:eastAsia="仿宋" w:cs="仿宋"/>
          <w:b/>
          <w:sz w:val="28"/>
          <w:lang w:val="en-US" w:eastAsia="zh-CN"/>
        </w:rPr>
      </w:pPr>
      <w:r>
        <w:rPr>
          <w:rFonts w:hint="default" w:ascii="仿宋" w:hAnsi="仿宋" w:eastAsia="仿宋" w:cs="仿宋"/>
          <w:b/>
          <w:sz w:val="28"/>
          <w:lang w:val="en-US" w:eastAsia="zh-CN"/>
        </w:rPr>
        <w:t>★</w:t>
      </w:r>
      <w:r>
        <w:rPr>
          <w:rFonts w:hint="eastAsia" w:ascii="仿宋" w:hAnsi="仿宋" w:eastAsia="仿宋" w:cs="仿宋"/>
          <w:b/>
          <w:sz w:val="28"/>
          <w:lang w:val="en-US" w:eastAsia="zh-CN"/>
        </w:rPr>
        <w:t>3.3.项目采购要求</w:t>
      </w:r>
    </w:p>
    <w:p w14:paraId="37A651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eastAsia" w:ascii="仿宋" w:hAnsi="仿宋" w:eastAsia="仿宋" w:cs="仿宋"/>
          <w:b/>
          <w:sz w:val="28"/>
          <w:lang w:val="en-US" w:eastAsia="zh-CN"/>
        </w:rPr>
      </w:pPr>
      <w:r>
        <w:rPr>
          <w:rFonts w:hint="eastAsia" w:ascii="仿宋" w:hAnsi="仿宋" w:eastAsia="仿宋" w:cs="仿宋"/>
          <w:b/>
          <w:sz w:val="28"/>
          <w:lang w:val="en-US" w:eastAsia="zh-CN"/>
        </w:rPr>
        <w:t>一、挂网需求</w:t>
      </w:r>
    </w:p>
    <w:p w14:paraId="462CDB2B">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1.本项目所有标的配送的均须提供挂网产品。</w:t>
      </w:r>
    </w:p>
    <w:p w14:paraId="356D75C9">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注：本项目中所指“挂网产品”，为“四川省药品和医用耗材招采管理系统”中已挂网产品（不含正在挂网和备案的产品）。</w:t>
      </w:r>
    </w:p>
    <w:p w14:paraId="0E4FBA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default" w:ascii="仿宋" w:hAnsi="仿宋" w:eastAsia="仿宋" w:cs="仿宋"/>
          <w:b/>
          <w:sz w:val="28"/>
          <w:lang w:val="en-US" w:eastAsia="zh-CN"/>
        </w:rPr>
      </w:pPr>
      <w:r>
        <w:rPr>
          <w:rFonts w:hint="eastAsia" w:ascii="仿宋" w:hAnsi="仿宋" w:eastAsia="仿宋" w:cs="仿宋"/>
          <w:b/>
          <w:sz w:val="28"/>
          <w:lang w:val="en-US" w:eastAsia="zh-CN"/>
        </w:rPr>
        <w:t>二、</w:t>
      </w:r>
      <w:r>
        <w:rPr>
          <w:rFonts w:hint="default" w:ascii="仿宋" w:hAnsi="仿宋" w:eastAsia="仿宋" w:cs="仿宋"/>
          <w:b/>
          <w:sz w:val="28"/>
          <w:lang w:val="en-US" w:eastAsia="zh-CN"/>
        </w:rPr>
        <w:t>样品要求</w:t>
      </w:r>
    </w:p>
    <w:p w14:paraId="088FADD5">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1.必须提供样品，以供评审专家现场评审。</w:t>
      </w:r>
    </w:p>
    <w:p w14:paraId="52A94C0C">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2.提交的样品不符合实际需求或存在原理错误则视为无效响应。</w:t>
      </w:r>
    </w:p>
    <w:p w14:paraId="2D651655">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3.本项目供应商提供的样品，应与该供应商响应文件保持一致（具体参考《医疗器械说明书和标签管理规定》）。</w:t>
      </w:r>
    </w:p>
    <w:p w14:paraId="5398DE86">
      <w:pPr>
        <w:spacing w:line="312" w:lineRule="auto"/>
        <w:ind w:firstLine="482" w:firstLineChars="200"/>
        <w:jc w:val="left"/>
        <w:textAlignment w:val="center"/>
        <w:rPr>
          <w:rFonts w:hint="default" w:ascii="仿宋" w:hAnsi="仿宋" w:eastAsia="仿宋" w:cs="仿宋"/>
          <w:b w:val="0"/>
          <w:bCs w:val="0"/>
          <w:kern w:val="0"/>
          <w:sz w:val="24"/>
          <w:szCs w:val="24"/>
          <w:lang w:val="en-US" w:eastAsia="zh-CN"/>
        </w:rPr>
      </w:pPr>
      <w:r>
        <w:rPr>
          <w:rFonts w:hint="eastAsia" w:ascii="仿宋" w:hAnsi="仿宋" w:eastAsia="仿宋" w:cs="仿宋"/>
          <w:b/>
          <w:bCs/>
          <w:color w:val="000000"/>
          <w:kern w:val="0"/>
          <w:sz w:val="24"/>
          <w:szCs w:val="24"/>
          <w:highlight w:val="none"/>
          <w:u w:val="none"/>
          <w:lang w:val="en-US" w:eastAsia="zh-CN" w:bidi="ar"/>
        </w:rPr>
        <w:t>注：样品包装需完整，样品评审时将由采购代理机构拍照留存，作为后期验收的依据。</w:t>
      </w:r>
    </w:p>
    <w:p w14:paraId="34AD07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2"/>
        <w:rPr>
          <w:rFonts w:hint="default" w:ascii="仿宋" w:hAnsi="仿宋" w:eastAsia="仿宋" w:cs="仿宋"/>
          <w:b/>
          <w:bCs/>
          <w:color w:val="000000"/>
          <w:sz w:val="24"/>
          <w:szCs w:val="24"/>
          <w:lang w:val="en-US" w:eastAsia="zh-CN"/>
        </w:rPr>
      </w:pPr>
      <w:r>
        <w:rPr>
          <w:rFonts w:hint="eastAsia" w:ascii="仿宋" w:hAnsi="仿宋" w:eastAsia="仿宋" w:cs="仿宋"/>
          <w:b/>
          <w:sz w:val="28"/>
          <w:lang w:val="en-US" w:eastAsia="zh-CN"/>
        </w:rPr>
        <w:t>三、商务</w:t>
      </w:r>
      <w:r>
        <w:rPr>
          <w:rFonts w:hint="eastAsia" w:ascii="仿宋" w:hAnsi="仿宋" w:eastAsia="仿宋" w:cs="仿宋"/>
          <w:b/>
          <w:sz w:val="28"/>
        </w:rPr>
        <w:t>要求</w:t>
      </w:r>
    </w:p>
    <w:p w14:paraId="51468D31">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outlineLvl w:val="3"/>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（一）服务期限</w:t>
      </w:r>
    </w:p>
    <w:p w14:paraId="585DA049">
      <w:pPr>
        <w:spacing w:line="312" w:lineRule="auto"/>
        <w:ind w:firstLine="480"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val="0"/>
          <w:bCs w:val="0"/>
          <w:color w:val="000000"/>
          <w:kern w:val="0"/>
          <w:sz w:val="24"/>
          <w:szCs w:val="24"/>
          <w:highlight w:val="none"/>
          <w:u w:val="none"/>
          <w:lang w:val="en-US" w:eastAsia="zh-CN" w:bidi="ar"/>
        </w:rPr>
        <w:t>每次配送时间必须严格按照采购人配送通知执行，成交供应商应于收到通知后2小时内响应。急用产品的配送时间不应超过4小时，一般产品原则上的配送时间不应超过2个工作日。</w:t>
      </w:r>
    </w:p>
    <w:p w14:paraId="44C038A0">
      <w:pPr>
        <w:spacing w:line="312" w:lineRule="auto"/>
        <w:ind w:firstLine="482" w:firstLineChars="200"/>
        <w:jc w:val="left"/>
        <w:textAlignment w:val="center"/>
        <w:rPr>
          <w:rFonts w:hint="eastAsia" w:ascii="仿宋" w:hAnsi="仿宋" w:eastAsia="仿宋" w:cs="仿宋"/>
          <w:b w:val="0"/>
          <w:bCs w:val="0"/>
          <w:color w:val="000000"/>
          <w:kern w:val="0"/>
          <w:sz w:val="24"/>
          <w:szCs w:val="24"/>
          <w:highlight w:val="none"/>
          <w:u w:val="none"/>
          <w:lang w:val="en-US" w:eastAsia="zh-CN" w:bidi="ar"/>
        </w:rPr>
      </w:pPr>
      <w:r>
        <w:rPr>
          <w:rFonts w:hint="eastAsia" w:ascii="仿宋" w:hAnsi="仿宋" w:eastAsia="仿宋" w:cs="仿宋"/>
          <w:b/>
          <w:bCs/>
          <w:color w:val="000000"/>
          <w:kern w:val="0"/>
          <w:sz w:val="24"/>
          <w:szCs w:val="24"/>
          <w:highlight w:val="none"/>
          <w:u w:val="none"/>
          <w:lang w:val="en-US" w:eastAsia="zh-CN" w:bidi="ar"/>
        </w:rPr>
        <w:t>（二）服务地点：</w:t>
      </w:r>
      <w:r>
        <w:rPr>
          <w:rFonts w:hint="eastAsia" w:ascii="仿宋" w:hAnsi="仿宋" w:eastAsia="仿宋" w:cs="仿宋"/>
          <w:b w:val="0"/>
          <w:bCs w:val="0"/>
          <w:color w:val="000000"/>
          <w:kern w:val="0"/>
          <w:sz w:val="24"/>
          <w:szCs w:val="24"/>
          <w:highlight w:val="none"/>
          <w:u w:val="none"/>
          <w:lang w:val="en-US" w:eastAsia="zh-CN" w:bidi="ar"/>
        </w:rPr>
        <w:t>内江市第一人民医院指定地点。</w:t>
      </w:r>
    </w:p>
    <w:p w14:paraId="298E0B7E">
      <w:pPr>
        <w:pStyle w:val="5"/>
        <w:ind w:firstLine="480" w:firstLineChars="0"/>
        <w:jc w:val="left"/>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（三）付款方式和条件</w:t>
      </w:r>
    </w:p>
    <w:p w14:paraId="5BA0465D">
      <w:pPr>
        <w:pStyle w:val="5"/>
        <w:spacing w:line="360" w:lineRule="auto"/>
        <w:ind w:firstLine="480" w:firstLineChars="0"/>
        <w:jc w:val="left"/>
        <w:outlineLvl w:val="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1.结算方式：双方协商决定。</w:t>
      </w:r>
    </w:p>
    <w:p w14:paraId="451502B1">
      <w:pPr>
        <w:pStyle w:val="5"/>
        <w:spacing w:line="360" w:lineRule="auto"/>
        <w:ind w:firstLine="480" w:firstLineChars="0"/>
        <w:jc w:val="left"/>
        <w:outlineLvl w:val="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2.成交价格包含成本、运输、包装、培训、配送、伴随服务、税费及其他附加费用。</w:t>
      </w:r>
    </w:p>
    <w:p w14:paraId="00A9D5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b/>
          <w:bCs/>
          <w:color w:val="000000"/>
          <w:sz w:val="24"/>
          <w:szCs w:val="24"/>
          <w:lang w:val="en-US" w:eastAsia="zh-CN"/>
        </w:rPr>
        <w:t>（四）</w:t>
      </w:r>
      <w:r>
        <w:rPr>
          <w:rFonts w:hint="eastAsia" w:ascii="楷体" w:hAnsi="楷体" w:eastAsia="楷体" w:cs="楷体"/>
          <w:b/>
          <w:bCs/>
          <w:color w:val="auto"/>
          <w:kern w:val="2"/>
          <w:sz w:val="24"/>
          <w:szCs w:val="24"/>
          <w:highlight w:val="none"/>
          <w:shd w:val="clear" w:color="auto" w:fill="auto"/>
          <w:lang w:val="en-US" w:eastAsia="zh-CN" w:bidi="ar-SA"/>
        </w:rPr>
        <w:t>验收、交付标准和方法</w:t>
      </w:r>
    </w:p>
    <w:p w14:paraId="1E0D14A9">
      <w:pPr>
        <w:pStyle w:val="5"/>
        <w:spacing w:line="360" w:lineRule="auto"/>
        <w:ind w:firstLine="480" w:firstLineChars="0"/>
        <w:jc w:val="left"/>
        <w:outlineLvl w:val="3"/>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按照《财政部关于进一步加强政府采购需求和履约验收管理的指导意见》（财库〔2016〕205号）的要求以及采购人</w:t>
      </w:r>
      <w:r>
        <w:rPr>
          <w:rFonts w:hint="eastAsia" w:ascii="仿宋" w:hAnsi="仿宋" w:eastAsia="仿宋" w:cs="仿宋"/>
          <w:b w:val="0"/>
          <w:bCs w:val="0"/>
          <w:sz w:val="24"/>
          <w:szCs w:val="24"/>
          <w:lang w:val="en-US" w:eastAsia="zh-CN"/>
        </w:rPr>
        <w:t>竞选文件</w:t>
      </w:r>
      <w:r>
        <w:rPr>
          <w:rFonts w:hint="default" w:ascii="仿宋" w:hAnsi="仿宋" w:eastAsia="仿宋" w:cs="仿宋"/>
          <w:b w:val="0"/>
          <w:bCs w:val="0"/>
          <w:sz w:val="24"/>
          <w:szCs w:val="24"/>
          <w:lang w:val="en-US" w:eastAsia="zh-CN"/>
        </w:rPr>
        <w:t>的质量要求和技术指标、</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的</w:t>
      </w:r>
      <w:r>
        <w:rPr>
          <w:rFonts w:hint="eastAsia" w:ascii="仿宋" w:hAnsi="仿宋" w:eastAsia="仿宋" w:cs="仿宋"/>
          <w:b w:val="0"/>
          <w:bCs w:val="0"/>
          <w:sz w:val="24"/>
          <w:szCs w:val="24"/>
          <w:lang w:val="en-US" w:eastAsia="zh-CN"/>
        </w:rPr>
        <w:t>响应文件</w:t>
      </w:r>
      <w:r>
        <w:rPr>
          <w:rFonts w:hint="default" w:ascii="仿宋" w:hAnsi="仿宋" w:eastAsia="仿宋" w:cs="仿宋"/>
          <w:b w:val="0"/>
          <w:bCs w:val="0"/>
          <w:sz w:val="24"/>
          <w:szCs w:val="24"/>
          <w:lang w:val="en-US" w:eastAsia="zh-CN"/>
        </w:rPr>
        <w:t>及承诺（若有）、国家（行业）标准、采购合同约定标准进行验收</w:t>
      </w:r>
      <w:r>
        <w:rPr>
          <w:rFonts w:hint="eastAsia" w:ascii="仿宋" w:hAnsi="仿宋" w:eastAsia="仿宋" w:cs="仿宋"/>
          <w:b w:val="0"/>
          <w:bCs w:val="0"/>
          <w:sz w:val="24"/>
          <w:szCs w:val="24"/>
          <w:lang w:val="en-US" w:eastAsia="zh-CN"/>
        </w:rPr>
        <w:t>。</w:t>
      </w:r>
    </w:p>
    <w:p w14:paraId="18C62092">
      <w:pPr>
        <w:pStyle w:val="5"/>
        <w:spacing w:line="360" w:lineRule="auto"/>
        <w:ind w:firstLine="480" w:firstLineChars="0"/>
        <w:jc w:val="left"/>
        <w:outlineLvl w:val="3"/>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default" w:ascii="仿宋" w:hAnsi="仿宋" w:eastAsia="仿宋" w:cs="仿宋"/>
          <w:b w:val="0"/>
          <w:bCs w:val="0"/>
          <w:sz w:val="24"/>
          <w:szCs w:val="24"/>
          <w:lang w:val="en-US" w:eastAsia="zh-CN"/>
        </w:rPr>
        <w:t>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承担，验收期限相应顺延</w:t>
      </w:r>
      <w:r>
        <w:rPr>
          <w:rFonts w:hint="eastAsia" w:ascii="仿宋" w:hAnsi="仿宋" w:eastAsia="仿宋" w:cs="仿宋"/>
          <w:b w:val="0"/>
          <w:bCs w:val="0"/>
          <w:sz w:val="24"/>
          <w:szCs w:val="24"/>
          <w:lang w:val="en-US" w:eastAsia="zh-CN"/>
        </w:rPr>
        <w:t>。</w:t>
      </w:r>
    </w:p>
    <w:p w14:paraId="12B86B0A">
      <w:pPr>
        <w:pStyle w:val="5"/>
        <w:spacing w:line="360" w:lineRule="auto"/>
        <w:ind w:firstLine="480" w:firstLineChars="0"/>
        <w:jc w:val="left"/>
        <w:outlineLvl w:val="3"/>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r>
        <w:rPr>
          <w:rFonts w:hint="default" w:ascii="仿宋" w:hAnsi="仿宋" w:eastAsia="仿宋" w:cs="仿宋"/>
          <w:b w:val="0"/>
          <w:bCs w:val="0"/>
          <w:sz w:val="24"/>
          <w:szCs w:val="24"/>
          <w:lang w:val="en-US" w:eastAsia="zh-CN"/>
        </w:rPr>
        <w:t>若所</w:t>
      </w:r>
      <w:r>
        <w:rPr>
          <w:rFonts w:hint="eastAsia" w:ascii="仿宋" w:hAnsi="仿宋" w:eastAsia="仿宋" w:cs="仿宋"/>
          <w:b w:val="0"/>
          <w:bCs w:val="0"/>
          <w:sz w:val="24"/>
          <w:szCs w:val="24"/>
          <w:lang w:val="en-US" w:eastAsia="zh-CN"/>
        </w:rPr>
        <w:t>配送</w:t>
      </w:r>
      <w:r>
        <w:rPr>
          <w:rFonts w:hint="default" w:ascii="仿宋" w:hAnsi="仿宋" w:eastAsia="仿宋" w:cs="仿宋"/>
          <w:b w:val="0"/>
          <w:bCs w:val="0"/>
          <w:sz w:val="24"/>
          <w:szCs w:val="24"/>
          <w:lang w:val="en-US" w:eastAsia="zh-CN"/>
        </w:rPr>
        <w:t>货物不符合验收标准，</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经过2次调换后仍不能达到验收质量标准，则视为验收不合格，采购人有权全部（或部分）退货或解除合同。接到采购人退货通知，</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除应及时运走采购人退还的货物外（若涉及费用或损失均由</w:t>
      </w:r>
      <w:r>
        <w:rPr>
          <w:rFonts w:hint="eastAsia" w:ascii="仿宋" w:hAnsi="仿宋" w:eastAsia="仿宋" w:cs="仿宋"/>
          <w:b w:val="0"/>
          <w:bCs w:val="0"/>
          <w:sz w:val="24"/>
          <w:szCs w:val="24"/>
          <w:lang w:val="en-US" w:eastAsia="zh-CN"/>
        </w:rPr>
        <w:t>成交供应商</w:t>
      </w:r>
      <w:r>
        <w:rPr>
          <w:rFonts w:hint="default" w:ascii="仿宋" w:hAnsi="仿宋" w:eastAsia="仿宋" w:cs="仿宋"/>
          <w:b w:val="0"/>
          <w:bCs w:val="0"/>
          <w:sz w:val="24"/>
          <w:szCs w:val="24"/>
          <w:lang w:val="en-US" w:eastAsia="zh-CN"/>
        </w:rPr>
        <w:t>自行承担），还应向采购人承担相应的违约责任。</w:t>
      </w:r>
    </w:p>
    <w:p w14:paraId="053D0C70">
      <w:pPr>
        <w:pStyle w:val="5"/>
        <w:spacing w:line="360" w:lineRule="auto"/>
        <w:ind w:firstLine="480" w:firstLineChars="0"/>
        <w:jc w:val="left"/>
        <w:outlineLvl w:val="3"/>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default" w:ascii="仿宋" w:hAnsi="仿宋" w:eastAsia="仿宋" w:cs="仿宋"/>
          <w:b w:val="0"/>
          <w:bCs w:val="0"/>
          <w:sz w:val="24"/>
          <w:szCs w:val="24"/>
          <w:lang w:val="en-US" w:eastAsia="zh-CN"/>
        </w:rPr>
        <w:t>其他未尽事宜严格按照《财政部关于进一步加强政府采购需求和履约验收管理的指导意见》（财库〔2016〕205号）的要求进行。</w:t>
      </w:r>
    </w:p>
    <w:p w14:paraId="528230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楷体" w:hAnsi="楷体" w:eastAsia="楷体" w:cs="楷体"/>
          <w:b/>
          <w:bCs/>
          <w:color w:val="auto"/>
          <w:sz w:val="24"/>
          <w:szCs w:val="24"/>
          <w:highlight w:val="none"/>
          <w:shd w:val="clear" w:color="auto" w:fill="auto"/>
          <w:lang w:val="en-US" w:eastAsia="zh-CN"/>
        </w:rPr>
      </w:pPr>
      <w:r>
        <w:rPr>
          <w:rFonts w:hint="eastAsia" w:ascii="仿宋" w:hAnsi="仿宋" w:eastAsia="仿宋" w:cs="仿宋"/>
          <w:b/>
          <w:bCs/>
          <w:color w:val="000000"/>
          <w:sz w:val="24"/>
          <w:szCs w:val="24"/>
          <w:lang w:val="en-US" w:eastAsia="zh-CN"/>
        </w:rPr>
        <w:t>（五）售后服</w:t>
      </w:r>
      <w:r>
        <w:rPr>
          <w:rFonts w:hint="eastAsia" w:ascii="楷体" w:hAnsi="楷体" w:eastAsia="楷体" w:cs="楷体"/>
          <w:b/>
          <w:bCs/>
          <w:color w:val="auto"/>
          <w:sz w:val="24"/>
          <w:szCs w:val="24"/>
          <w:highlight w:val="none"/>
          <w:shd w:val="clear" w:color="auto" w:fill="auto"/>
          <w:lang w:val="en-US" w:eastAsia="zh-CN"/>
        </w:rPr>
        <w:t>务</w:t>
      </w:r>
    </w:p>
    <w:p w14:paraId="61259A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r>
        <w:rPr>
          <w:rFonts w:hint="default" w:ascii="仿宋" w:hAnsi="仿宋" w:eastAsia="仿宋" w:cs="仿宋"/>
          <w:b w:val="0"/>
          <w:bCs w:val="0"/>
          <w:kern w:val="0"/>
          <w:sz w:val="24"/>
          <w:szCs w:val="24"/>
          <w:lang w:val="en-US" w:eastAsia="zh-CN"/>
        </w:rPr>
        <w:t>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必须严格按照</w:t>
      </w:r>
      <w:r>
        <w:rPr>
          <w:rFonts w:hint="eastAsia" w:ascii="仿宋" w:hAnsi="仿宋" w:eastAsia="仿宋" w:cs="仿宋"/>
          <w:b w:val="0"/>
          <w:bCs w:val="0"/>
          <w:kern w:val="0"/>
          <w:sz w:val="24"/>
          <w:szCs w:val="24"/>
          <w:lang w:val="en-US" w:eastAsia="zh-CN"/>
        </w:rPr>
        <w:t>竞选文件</w:t>
      </w:r>
      <w:r>
        <w:rPr>
          <w:rFonts w:hint="default" w:ascii="仿宋" w:hAnsi="仿宋" w:eastAsia="仿宋" w:cs="仿宋"/>
          <w:b w:val="0"/>
          <w:bCs w:val="0"/>
          <w:kern w:val="0"/>
          <w:sz w:val="24"/>
          <w:szCs w:val="24"/>
          <w:lang w:val="en-US" w:eastAsia="zh-CN"/>
        </w:rPr>
        <w:t>要求和</w:t>
      </w:r>
      <w:r>
        <w:rPr>
          <w:rFonts w:hint="eastAsia" w:ascii="仿宋" w:hAnsi="仿宋" w:eastAsia="仿宋" w:cs="仿宋"/>
          <w:b w:val="0"/>
          <w:bCs w:val="0"/>
          <w:kern w:val="0"/>
          <w:sz w:val="24"/>
          <w:szCs w:val="24"/>
          <w:lang w:val="en-US" w:eastAsia="zh-CN"/>
        </w:rPr>
        <w:t>响应文件</w:t>
      </w:r>
      <w:r>
        <w:rPr>
          <w:rFonts w:hint="default" w:ascii="仿宋" w:hAnsi="仿宋" w:eastAsia="仿宋" w:cs="仿宋"/>
          <w:b w:val="0"/>
          <w:bCs w:val="0"/>
          <w:kern w:val="0"/>
          <w:sz w:val="24"/>
          <w:szCs w:val="24"/>
          <w:lang w:val="en-US" w:eastAsia="zh-CN"/>
        </w:rPr>
        <w:t>中的承诺提供配送服务。如果配送的医用耗材规格、包装等信息与中标产品的规格、包装等信息不一致并不同意更换的，或配送的医用耗材和中标产品不一致的，采购人有权终止合同。</w:t>
      </w:r>
    </w:p>
    <w:p w14:paraId="1D0E3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r>
        <w:rPr>
          <w:rFonts w:hint="default" w:ascii="仿宋" w:hAnsi="仿宋" w:eastAsia="仿宋" w:cs="仿宋"/>
          <w:b w:val="0"/>
          <w:bCs w:val="0"/>
          <w:kern w:val="0"/>
          <w:sz w:val="24"/>
          <w:szCs w:val="24"/>
          <w:lang w:val="en-US" w:eastAsia="zh-CN"/>
        </w:rPr>
        <w:t>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指派专人负责与采购人联系售后服务事宜</w:t>
      </w:r>
      <w:r>
        <w:rPr>
          <w:rFonts w:hint="eastAsia" w:ascii="仿宋" w:hAnsi="仿宋" w:eastAsia="仿宋" w:cs="仿宋"/>
          <w:b w:val="0"/>
          <w:bCs w:val="0"/>
          <w:kern w:val="0"/>
          <w:sz w:val="24"/>
          <w:szCs w:val="24"/>
          <w:lang w:val="en-US" w:eastAsia="zh-CN"/>
        </w:rPr>
        <w:t>，</w:t>
      </w:r>
      <w:r>
        <w:rPr>
          <w:rFonts w:hint="default" w:ascii="仿宋" w:hAnsi="仿宋" w:eastAsia="仿宋" w:cs="仿宋"/>
          <w:b/>
          <w:bCs/>
          <w:kern w:val="0"/>
          <w:sz w:val="24"/>
          <w:szCs w:val="24"/>
          <w:lang w:val="en-US" w:eastAsia="zh-CN"/>
        </w:rPr>
        <w:t>在</w:t>
      </w:r>
      <w:r>
        <w:rPr>
          <w:rFonts w:hint="eastAsia" w:ascii="仿宋" w:hAnsi="仿宋" w:eastAsia="仿宋" w:cs="仿宋"/>
          <w:b/>
          <w:bCs/>
          <w:kern w:val="0"/>
          <w:sz w:val="24"/>
          <w:szCs w:val="24"/>
          <w:lang w:val="en-US" w:eastAsia="zh-CN"/>
        </w:rPr>
        <w:t>响应文件</w:t>
      </w:r>
      <w:r>
        <w:rPr>
          <w:rFonts w:hint="default" w:ascii="仿宋" w:hAnsi="仿宋" w:eastAsia="仿宋" w:cs="仿宋"/>
          <w:b/>
          <w:bCs/>
          <w:kern w:val="0"/>
          <w:sz w:val="24"/>
          <w:szCs w:val="24"/>
          <w:lang w:val="en-US" w:eastAsia="zh-CN"/>
        </w:rPr>
        <w:t>中列明售后联系人及联系电话。</w:t>
      </w:r>
    </w:p>
    <w:p w14:paraId="54049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r>
        <w:rPr>
          <w:rFonts w:hint="default" w:ascii="仿宋" w:hAnsi="仿宋" w:eastAsia="仿宋" w:cs="仿宋"/>
          <w:b w:val="0"/>
          <w:bCs w:val="0"/>
          <w:kern w:val="0"/>
          <w:sz w:val="24"/>
          <w:szCs w:val="24"/>
          <w:lang w:val="en-US" w:eastAsia="zh-CN"/>
        </w:rPr>
        <w:t>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14:paraId="336029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w:t>
      </w:r>
      <w:r>
        <w:rPr>
          <w:rFonts w:hint="default" w:ascii="仿宋" w:hAnsi="仿宋" w:eastAsia="仿宋" w:cs="仿宋"/>
          <w:b w:val="0"/>
          <w:bCs w:val="0"/>
          <w:kern w:val="0"/>
          <w:sz w:val="24"/>
          <w:szCs w:val="24"/>
          <w:lang w:val="en-US" w:eastAsia="zh-CN"/>
        </w:rPr>
        <w:t>耗材临近失效期，采购人提前三个月向</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提出更换，</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须在耗材失效前一个月更换完毕，不得以任何理由进行推诿。</w:t>
      </w:r>
    </w:p>
    <w:p w14:paraId="12318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5.成交供应商</w:t>
      </w:r>
      <w:r>
        <w:rPr>
          <w:rFonts w:hint="default" w:ascii="仿宋" w:hAnsi="仿宋" w:eastAsia="仿宋" w:cs="仿宋"/>
          <w:b w:val="0"/>
          <w:bCs w:val="0"/>
          <w:kern w:val="0"/>
          <w:sz w:val="24"/>
          <w:szCs w:val="24"/>
          <w:lang w:val="en-US" w:eastAsia="zh-CN"/>
        </w:rPr>
        <w:t>必须随货提供其具备医疗器械经营企业的有关合法有效的手续（包括但不限于）：</w:t>
      </w:r>
    </w:p>
    <w:p w14:paraId="41D79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5.1</w:t>
      </w:r>
      <w:r>
        <w:rPr>
          <w:rFonts w:hint="default" w:ascii="仿宋" w:hAnsi="仿宋" w:eastAsia="仿宋" w:cs="仿宋"/>
          <w:b w:val="0"/>
          <w:bCs w:val="0"/>
          <w:kern w:val="0"/>
          <w:sz w:val="24"/>
          <w:szCs w:val="24"/>
          <w:lang w:val="en-US" w:eastAsia="zh-CN"/>
        </w:rPr>
        <w:t>产品所涉及逐级授权经销商的医疗器械生产（经营）许可证或生产（经营）企业备案表；</w:t>
      </w:r>
    </w:p>
    <w:p w14:paraId="5041F0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5.2</w:t>
      </w:r>
      <w:r>
        <w:rPr>
          <w:rFonts w:hint="default" w:ascii="仿宋" w:hAnsi="仿宋" w:eastAsia="仿宋" w:cs="仿宋"/>
          <w:b w:val="0"/>
          <w:bCs w:val="0"/>
          <w:kern w:val="0"/>
          <w:sz w:val="24"/>
          <w:szCs w:val="24"/>
          <w:lang w:val="en-US" w:eastAsia="zh-CN"/>
        </w:rPr>
        <w:t>医疗器械产品注册证或备案凭证；</w:t>
      </w:r>
    </w:p>
    <w:p w14:paraId="25DBB9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5.3</w:t>
      </w:r>
      <w:r>
        <w:rPr>
          <w:rFonts w:hint="default" w:ascii="仿宋" w:hAnsi="仿宋" w:eastAsia="仿宋" w:cs="仿宋"/>
          <w:b w:val="0"/>
          <w:bCs w:val="0"/>
          <w:kern w:val="0"/>
          <w:sz w:val="24"/>
          <w:szCs w:val="24"/>
          <w:lang w:val="en-US" w:eastAsia="zh-CN"/>
        </w:rPr>
        <w:t>医疗器械生产企业许可证；</w:t>
      </w:r>
    </w:p>
    <w:p w14:paraId="415CEF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5.4</w:t>
      </w:r>
      <w:r>
        <w:rPr>
          <w:rFonts w:hint="default" w:ascii="仿宋" w:hAnsi="仿宋" w:eastAsia="仿宋" w:cs="仿宋"/>
          <w:b w:val="0"/>
          <w:bCs w:val="0"/>
          <w:kern w:val="0"/>
          <w:sz w:val="24"/>
          <w:szCs w:val="24"/>
          <w:lang w:val="en-US" w:eastAsia="zh-CN"/>
        </w:rPr>
        <w:t>经销商获得的委托授权书（逐级）；</w:t>
      </w:r>
    </w:p>
    <w:p w14:paraId="0EB785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5.5</w:t>
      </w:r>
      <w:r>
        <w:rPr>
          <w:rFonts w:hint="default" w:ascii="仿宋" w:hAnsi="仿宋" w:eastAsia="仿宋" w:cs="仿宋"/>
          <w:b w:val="0"/>
          <w:bCs w:val="0"/>
          <w:kern w:val="0"/>
          <w:sz w:val="24"/>
          <w:szCs w:val="24"/>
          <w:lang w:val="en-US" w:eastAsia="zh-CN"/>
        </w:rPr>
        <w:t>产品所涉及逐级授权经销商的企业法人营业执照。</w:t>
      </w:r>
    </w:p>
    <w:p w14:paraId="7A189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5.6</w:t>
      </w:r>
      <w:r>
        <w:rPr>
          <w:rFonts w:hint="default" w:ascii="仿宋" w:hAnsi="仿宋" w:eastAsia="仿宋" w:cs="仿宋"/>
          <w:b w:val="0"/>
          <w:bCs w:val="0"/>
          <w:kern w:val="0"/>
          <w:sz w:val="24"/>
          <w:szCs w:val="24"/>
          <w:lang w:val="en-US" w:eastAsia="zh-CN"/>
        </w:rPr>
        <w:t>采购人要求提供的相关资料。</w:t>
      </w:r>
    </w:p>
    <w:p w14:paraId="4797C1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default" w:ascii="仿宋" w:hAnsi="仿宋" w:eastAsia="仿宋" w:cs="仿宋"/>
          <w:b w:val="0"/>
          <w:bCs w:val="0"/>
          <w:kern w:val="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经甲乙双方商议后，若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或厂家原因无法按上述要求执行的，则采购人可以</w:t>
      </w:r>
      <w:r>
        <w:rPr>
          <w:rFonts w:hint="eastAsia" w:ascii="仿宋" w:hAnsi="仿宋" w:eastAsia="仿宋" w:cs="仿宋"/>
          <w:b w:val="0"/>
          <w:bCs w:val="0"/>
          <w:kern w:val="0"/>
          <w:sz w:val="24"/>
          <w:szCs w:val="24"/>
          <w:lang w:val="en-US" w:eastAsia="zh-CN"/>
        </w:rPr>
        <w:t>部分</w:t>
      </w:r>
      <w:r>
        <w:rPr>
          <w:rFonts w:hint="default" w:ascii="仿宋" w:hAnsi="仿宋" w:eastAsia="仿宋" w:cs="仿宋"/>
          <w:b w:val="0"/>
          <w:bCs w:val="0"/>
          <w:kern w:val="0"/>
          <w:sz w:val="24"/>
          <w:szCs w:val="24"/>
          <w:lang w:val="en-US" w:eastAsia="zh-CN"/>
        </w:rPr>
        <w:t>解除。</w:t>
      </w:r>
    </w:p>
    <w:p w14:paraId="61CB79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（六）配送医用耗材质量保证</w:t>
      </w:r>
    </w:p>
    <w:p w14:paraId="0F74F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1.成交供应商须提供原厂生产的未曾使用过的、全新的合格的货品（含配套配件等），表面无划伤、无破损痕迹，且权属清楚，不得侵害他人的合法权利。</w:t>
      </w:r>
    </w:p>
    <w:p w14:paraId="1D36D6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供应商所提供货品须符合或优于国家（行业）标准、本项目竞选文件要求及响应文件响应内容。当响应文件响应内容与竞选文件要求不一致时，以响应文件响应内容为准。当响应文件响应内容与国家标准、行业标准（若有）不一致时，以较高标准为准。</w:t>
      </w:r>
    </w:p>
    <w:p w14:paraId="217780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3.成交供应商提供货品的设计技术专利、外形专利等均应符合我国有关法律法规及行业标准，凡因以上问题与第三方发生的任何纠纷，由成交供应商承担全部责任，成交供应商</w:t>
      </w:r>
      <w:r>
        <w:rPr>
          <w:rFonts w:hint="eastAsia" w:ascii="仿宋" w:hAnsi="仿宋" w:eastAsia="仿宋" w:cs="仿宋"/>
          <w:b w:val="0"/>
          <w:bCs w:val="0"/>
          <w:kern w:val="0"/>
          <w:sz w:val="24"/>
          <w:szCs w:val="24"/>
          <w:lang w:val="en-US" w:eastAsia="zh-Hans"/>
        </w:rPr>
        <w:t>还应</w:t>
      </w:r>
      <w:r>
        <w:rPr>
          <w:rFonts w:hint="eastAsia" w:ascii="仿宋" w:hAnsi="仿宋" w:eastAsia="仿宋" w:cs="仿宋"/>
          <w:b w:val="0"/>
          <w:bCs w:val="0"/>
          <w:kern w:val="0"/>
          <w:sz w:val="24"/>
          <w:szCs w:val="24"/>
          <w:lang w:val="en-US" w:eastAsia="zh-CN"/>
        </w:rPr>
        <w:t>负责赔偿采购人由此而遭受的全部损失。</w:t>
      </w:r>
    </w:p>
    <w:p w14:paraId="2CEB5C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4.成交供应商保证其提供货品的安全可靠性。在正常使用下不应对使用者造成任何人身伤害，如因产品质量或标示不明确而对使用者造成损失的，由成交供应商承担相应责任。</w:t>
      </w:r>
    </w:p>
    <w:p w14:paraId="06B927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成交供应商应保证所供耗材原产地真实，医用耗材是全新的、未使用过的，质量符合国家标准（在无国家标准时，符合行业标准），不得以假充真，以次充好，确保临床医疗安全。如出现质量问题，成交供应商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14:paraId="4B534E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6.成交供应商保证所供耗材有效期不低于1年，自通过最终验收之日起，确保采购人在使用耗材的过程中安全、有效。</w:t>
      </w:r>
    </w:p>
    <w:p w14:paraId="4D229B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（七）包装和运输</w:t>
      </w:r>
    </w:p>
    <w:p w14:paraId="55B42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1.成交供应商须严格按照《商品包装政府采购需求标准(试行)》、《快递包装政府采购需 求标准(试行)》(财办库〔2020〕123 号)的要求进行产品及相关快递服务的包装。 </w:t>
      </w:r>
    </w:p>
    <w:p w14:paraId="33C35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2.成交供应商应当按照约定的方式交付标的物。对于包装方式没有约定或者约定不明确的，应当按照通用的方式包装；没有通用方式的，应当采取足以保护标的物且有利于节约资源，保护生态环境的包装方式。 </w:t>
      </w:r>
    </w:p>
    <w:p w14:paraId="0E87D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3.本次采购的标的物需要运输，成交供应商在合同约定的时间内将标的物运输至合同约定地点。</w:t>
      </w:r>
    </w:p>
    <w:p w14:paraId="779433B7">
      <w:pPr>
        <w:pStyle w:val="5"/>
        <w:spacing w:line="240" w:lineRule="auto"/>
        <w:jc w:val="left"/>
        <w:outlineLvl w:val="1"/>
        <w:rPr>
          <w:rFonts w:hint="eastAsia" w:ascii="仿宋" w:hAnsi="仿宋" w:eastAsia="仿宋" w:cs="仿宋"/>
        </w:rPr>
      </w:pPr>
      <w:r>
        <w:rPr>
          <w:rFonts w:hint="eastAsia" w:ascii="仿宋" w:hAnsi="仿宋" w:eastAsia="仿宋" w:cs="仿宋"/>
          <w:b/>
          <w:sz w:val="28"/>
        </w:rPr>
        <w:t>3.</w:t>
      </w:r>
      <w:r>
        <w:rPr>
          <w:rFonts w:hint="eastAsia" w:ascii="仿宋" w:hAnsi="仿宋" w:eastAsia="仿宋" w:cs="仿宋"/>
          <w:b/>
          <w:sz w:val="28"/>
          <w:lang w:val="en-US" w:eastAsia="zh-CN"/>
        </w:rPr>
        <w:t>4</w:t>
      </w:r>
      <w:r>
        <w:rPr>
          <w:rFonts w:hint="eastAsia" w:ascii="仿宋" w:hAnsi="仿宋" w:eastAsia="仿宋" w:cs="仿宋"/>
          <w:b/>
          <w:sz w:val="28"/>
        </w:rPr>
        <w:t>.其他要求</w:t>
      </w:r>
    </w:p>
    <w:p w14:paraId="13758BE0">
      <w:pPr>
        <w:pStyle w:val="5"/>
        <w:ind w:firstLine="480" w:firstLineChars="0"/>
        <w:jc w:val="left"/>
        <w:outlineLvl w:val="2"/>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default" w:ascii="仿宋" w:hAnsi="仿宋" w:eastAsia="仿宋" w:cs="仿宋"/>
          <w:b/>
          <w:bCs/>
          <w:sz w:val="24"/>
          <w:szCs w:val="24"/>
          <w:lang w:val="en-US" w:eastAsia="zh-CN"/>
        </w:rPr>
        <w:t>违约责任与解决争议的方法</w:t>
      </w:r>
    </w:p>
    <w:p w14:paraId="52ACA7CE">
      <w:pPr>
        <w:pStyle w:val="5"/>
        <w:ind w:firstLine="480" w:firstLineChars="0"/>
        <w:jc w:val="left"/>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1.1违约责任</w:t>
      </w:r>
    </w:p>
    <w:p w14:paraId="5FB77A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（1）成交供应商</w:t>
      </w:r>
      <w:r>
        <w:rPr>
          <w:rFonts w:hint="default" w:ascii="仿宋" w:hAnsi="仿宋" w:eastAsia="仿宋" w:cs="仿宋"/>
          <w:b w:val="0"/>
          <w:bCs w:val="0"/>
          <w:kern w:val="0"/>
          <w:sz w:val="24"/>
          <w:szCs w:val="24"/>
          <w:lang w:val="en-US" w:eastAsia="zh-CN"/>
        </w:rPr>
        <w:t>逾期15日内不能提供采购人所需医用耗材的，应向采购人每日支付该批次货款千分之三的违约金。</w:t>
      </w:r>
    </w:p>
    <w:p w14:paraId="555E6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（2）成交供应商</w:t>
      </w:r>
      <w:r>
        <w:rPr>
          <w:rFonts w:hint="default" w:ascii="仿宋" w:hAnsi="仿宋" w:eastAsia="仿宋" w:cs="仿宋"/>
          <w:b w:val="0"/>
          <w:bCs w:val="0"/>
          <w:kern w:val="0"/>
          <w:sz w:val="24"/>
          <w:szCs w:val="24"/>
          <w:lang w:val="en-US" w:eastAsia="zh-CN"/>
        </w:rPr>
        <w:t>逾期15日及以上不能交付以上产品的，视同不能供货，须向采购人支付该批次货款的10%的违约金，同时采购人可以单方面解除采购合同。</w:t>
      </w:r>
    </w:p>
    <w:p w14:paraId="7A948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w:t>
      </w:r>
      <w:r>
        <w:rPr>
          <w:rFonts w:hint="default" w:ascii="仿宋" w:hAnsi="仿宋" w:eastAsia="仿宋" w:cs="仿宋"/>
          <w:b w:val="0"/>
          <w:bCs w:val="0"/>
          <w:kern w:val="0"/>
          <w:sz w:val="24"/>
          <w:szCs w:val="24"/>
          <w:lang w:val="en-US" w:eastAsia="zh-CN"/>
        </w:rPr>
        <w:t>若因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原因造成采购人被监管部门通报三次及以上的或者造成采购人违规采购，采购人有权单方面解除采购合同。同时，采购人有权要求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支付该批货物价款20%的违约金。</w:t>
      </w:r>
    </w:p>
    <w:p w14:paraId="7BFA3B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（4）成交供应商配送</w:t>
      </w:r>
      <w:r>
        <w:rPr>
          <w:rFonts w:hint="default" w:ascii="仿宋" w:hAnsi="仿宋" w:eastAsia="仿宋" w:cs="仿宋"/>
          <w:b w:val="0"/>
          <w:bCs w:val="0"/>
          <w:kern w:val="0"/>
          <w:sz w:val="24"/>
          <w:szCs w:val="24"/>
          <w:lang w:val="en-US" w:eastAsia="zh-CN"/>
        </w:rPr>
        <w:t>的产品若发生严重医疗不良事件或被国家法定检测机构检测为不合格产品，视为</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违约导致不能实现采购合同目的，采购人有权单方面解除采购合同，并要求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限期收回不合格产品，并要求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需承担合同价款20%的违约金，违约金不足以弥补采购人损失的，</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还应当承补足。即使产品已经验收入库（或安装调试完毕）后，采购人才发现产品为不合格产品的，也视为</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违约，</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应当承担本条约定的责任。同时采购人有权退回库存产品。</w:t>
      </w:r>
    </w:p>
    <w:p w14:paraId="63785D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w:t>
      </w:r>
      <w:r>
        <w:rPr>
          <w:rFonts w:hint="default" w:ascii="仿宋" w:hAnsi="仿宋" w:eastAsia="仿宋" w:cs="仿宋"/>
          <w:b w:val="0"/>
          <w:bCs w:val="0"/>
          <w:kern w:val="0"/>
          <w:sz w:val="24"/>
          <w:szCs w:val="24"/>
          <w:lang w:val="en-US" w:eastAsia="zh-CN"/>
        </w:rPr>
        <w:t>若根据法律规定或本协议约定产生采购人退、换货或拒绝收货情形，由</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承担退换货产生的各项税、费或其他支出。</w:t>
      </w:r>
    </w:p>
    <w:p w14:paraId="7C5827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（6）成交供应商</w:t>
      </w:r>
      <w:r>
        <w:rPr>
          <w:rFonts w:hint="default" w:ascii="仿宋" w:hAnsi="仿宋" w:eastAsia="仿宋" w:cs="仿宋"/>
          <w:b w:val="0"/>
          <w:bCs w:val="0"/>
          <w:kern w:val="0"/>
          <w:sz w:val="24"/>
          <w:szCs w:val="24"/>
          <w:lang w:val="en-US" w:eastAsia="zh-CN"/>
        </w:rPr>
        <w:t>不能保证及时供货，除应当向采购人承担违约责任外，采购人仍有权单方面解除采购合同。</w:t>
      </w:r>
    </w:p>
    <w:p w14:paraId="68D68F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（7）</w:t>
      </w:r>
      <w:r>
        <w:rPr>
          <w:rFonts w:hint="default" w:ascii="仿宋" w:hAnsi="仿宋" w:eastAsia="仿宋" w:cs="仿宋"/>
          <w:b w:val="0"/>
          <w:bCs w:val="0"/>
          <w:kern w:val="0"/>
          <w:sz w:val="24"/>
          <w:szCs w:val="24"/>
          <w:lang w:val="en-US" w:eastAsia="zh-CN"/>
        </w:rPr>
        <w:t>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提供的产品不合格造成采购人或第三人人身损害或财产损失的，由</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承担赔偿责任。</w:t>
      </w:r>
    </w:p>
    <w:p w14:paraId="51D5AB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（8）</w:t>
      </w:r>
      <w:r>
        <w:rPr>
          <w:rFonts w:hint="default" w:ascii="仿宋" w:hAnsi="仿宋" w:eastAsia="仿宋" w:cs="仿宋"/>
          <w:b w:val="0"/>
          <w:bCs w:val="0"/>
          <w:kern w:val="0"/>
          <w:sz w:val="24"/>
          <w:szCs w:val="24"/>
          <w:lang w:val="en-US" w:eastAsia="zh-CN"/>
        </w:rPr>
        <w:t>若因</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原因造成采购人挂网执行存在问题以及线上支付不及时、造成采购人未挂网采购的或者存在其他问题的，</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应承担违约责任，且采购人有权要求</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支付该批货物价款20%的违约金，采购人有权单方面解除合同。</w:t>
      </w:r>
    </w:p>
    <w:p w14:paraId="12E343C6">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center"/>
        <w:rPr>
          <w:rFonts w:hint="eastAsia" w:ascii="仿宋" w:hAnsi="仿宋" w:eastAsia="仿宋" w:cs="仿宋"/>
          <w:b/>
          <w:bCs/>
          <w:color w:val="000000"/>
          <w:kern w:val="0"/>
          <w:sz w:val="24"/>
          <w:szCs w:val="24"/>
          <w:u w:val="none"/>
          <w:lang w:val="en-US" w:eastAsia="zh-CN" w:bidi="ar"/>
        </w:rPr>
      </w:pPr>
      <w:r>
        <w:rPr>
          <w:rFonts w:hint="eastAsia" w:ascii="仿宋" w:hAnsi="仿宋" w:eastAsia="仿宋" w:cs="仿宋"/>
          <w:b/>
          <w:bCs/>
          <w:color w:val="000000"/>
          <w:kern w:val="0"/>
          <w:sz w:val="24"/>
          <w:szCs w:val="24"/>
          <w:u w:val="none"/>
          <w:lang w:val="en-US" w:eastAsia="zh-CN" w:bidi="ar"/>
        </w:rPr>
        <w:t>1.2解决合同纠纷的方式</w:t>
      </w:r>
    </w:p>
    <w:p w14:paraId="5E66B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r>
        <w:rPr>
          <w:rFonts w:hint="default" w:ascii="仿宋" w:hAnsi="仿宋" w:eastAsia="仿宋" w:cs="仿宋"/>
          <w:b w:val="0"/>
          <w:bCs w:val="0"/>
          <w:kern w:val="0"/>
          <w:sz w:val="24"/>
          <w:szCs w:val="24"/>
          <w:lang w:val="en-US" w:eastAsia="zh-CN"/>
        </w:rPr>
        <w:t>因货物的质量问题发生的争议，由法定质量鉴定机构或其认可的质量鉴定机构进行质量鉴定。货物符合标准的，鉴定费由采购人承担；货物不符合质量标准的，鉴定费由</w:t>
      </w:r>
      <w:r>
        <w:rPr>
          <w:rFonts w:hint="eastAsia" w:ascii="仿宋" w:hAnsi="仿宋" w:eastAsia="仿宋" w:cs="仿宋"/>
          <w:b w:val="0"/>
          <w:bCs w:val="0"/>
          <w:kern w:val="0"/>
          <w:sz w:val="24"/>
          <w:szCs w:val="24"/>
          <w:lang w:val="en-US" w:eastAsia="zh-CN"/>
        </w:rPr>
        <w:t>成交供应商</w:t>
      </w:r>
      <w:r>
        <w:rPr>
          <w:rFonts w:hint="default" w:ascii="仿宋" w:hAnsi="仿宋" w:eastAsia="仿宋" w:cs="仿宋"/>
          <w:b w:val="0"/>
          <w:bCs w:val="0"/>
          <w:kern w:val="0"/>
          <w:sz w:val="24"/>
          <w:szCs w:val="24"/>
          <w:lang w:val="en-US" w:eastAsia="zh-CN"/>
        </w:rPr>
        <w:t>承担。</w:t>
      </w:r>
    </w:p>
    <w:p w14:paraId="3BB2BC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left"/>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w:t>
      </w:r>
      <w:r>
        <w:rPr>
          <w:rFonts w:hint="default" w:ascii="仿宋" w:hAnsi="仿宋" w:eastAsia="仿宋" w:cs="仿宋"/>
          <w:b w:val="0"/>
          <w:bCs w:val="0"/>
          <w:kern w:val="0"/>
          <w:sz w:val="24"/>
          <w:szCs w:val="24"/>
          <w:lang w:val="en-US" w:eastAsia="zh-CN"/>
        </w:rPr>
        <w:t>合同履行期间，若双方发生争议，可协商或由有关部门调解解决，协商或调解不成的，可向采购人所在地人民法院依法提起诉讼。</w:t>
      </w:r>
    </w:p>
    <w:p w14:paraId="579875AF">
      <w:pPr>
        <w:pStyle w:val="5"/>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eastAsia" w:ascii="Times New Roman" w:hAnsi="Times New Roman" w:eastAsia="仿宋" w:cs="Times New Roman"/>
          <w:color w:val="auto"/>
          <w:sz w:val="24"/>
          <w:szCs w:val="24"/>
          <w:highlight w:val="yellow"/>
          <w:shd w:val="clear" w:color="auto" w:fill="auto"/>
          <w:lang w:val="en-US" w:eastAsia="zh-CN"/>
        </w:rPr>
      </w:pPr>
      <w:r>
        <w:rPr>
          <w:rFonts w:hint="eastAsia" w:ascii="仿宋" w:hAnsi="仿宋" w:eastAsia="仿宋" w:cs="仿宋"/>
          <w:b/>
          <w:bCs/>
          <w:sz w:val="24"/>
          <w:szCs w:val="24"/>
          <w:lang w:val="en-US" w:eastAsia="zh-CN"/>
        </w:rPr>
        <w:t>2.合同</w:t>
      </w:r>
      <w:r>
        <w:rPr>
          <w:rFonts w:hint="default" w:ascii="Times New Roman" w:hAnsi="Times New Roman" w:eastAsia="仿宋" w:cs="Times New Roman"/>
          <w:b/>
          <w:bCs/>
          <w:color w:val="auto"/>
          <w:sz w:val="24"/>
          <w:szCs w:val="24"/>
          <w:highlight w:val="none"/>
          <w:shd w:val="clear" w:color="auto" w:fill="auto"/>
        </w:rPr>
        <w:t>履行期限</w:t>
      </w:r>
      <w:r>
        <w:rPr>
          <w:rFonts w:hint="eastAsia" w:ascii="Times New Roman" w:hAnsi="Times New Roman" w:eastAsia="仿宋" w:cs="Times New Roman"/>
          <w:b/>
          <w:bCs/>
          <w:color w:val="auto"/>
          <w:sz w:val="24"/>
          <w:szCs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2</w:t>
      </w:r>
      <w:r>
        <w:rPr>
          <w:rFonts w:hint="eastAsia" w:ascii="Times New Roman" w:hAnsi="Times New Roman" w:eastAsia="仿宋" w:cs="Times New Roman"/>
          <w:color w:val="auto"/>
          <w:sz w:val="24"/>
          <w:szCs w:val="24"/>
          <w:highlight w:val="none"/>
          <w:shd w:val="clear" w:color="auto" w:fill="auto"/>
          <w:lang w:val="en-US" w:eastAsia="zh-CN"/>
        </w:rPr>
        <w:t>年。</w:t>
      </w:r>
    </w:p>
    <w:p w14:paraId="624C1507">
      <w:pPr>
        <w:pStyle w:val="5"/>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3.合同支付约定：</w:t>
      </w:r>
      <w:r>
        <w:rPr>
          <w:rFonts w:hint="eastAsia" w:ascii="仿宋" w:hAnsi="仿宋" w:eastAsia="仿宋" w:cs="仿宋"/>
          <w:color w:val="000000"/>
          <w:kern w:val="0"/>
          <w:sz w:val="24"/>
          <w:szCs w:val="24"/>
          <w:u w:val="none"/>
          <w:lang w:val="en-US" w:eastAsia="zh-CN" w:bidi="ar"/>
        </w:rPr>
        <w:t>双方协商确定。</w:t>
      </w:r>
    </w:p>
    <w:p w14:paraId="088FEA70">
      <w:pPr>
        <w:pStyle w:val="5"/>
        <w:keepNext w:val="0"/>
        <w:keepLines w:val="0"/>
        <w:pageBreakBefore w:val="0"/>
        <w:widowControl/>
        <w:kinsoku/>
        <w:wordWrap/>
        <w:overflowPunct/>
        <w:topLinePunct w:val="0"/>
        <w:autoSpaceDE/>
        <w:autoSpaceDN/>
        <w:bidi w:val="0"/>
        <w:adjustRightInd/>
        <w:snapToGrid/>
        <w:spacing w:line="312" w:lineRule="auto"/>
        <w:ind w:firstLine="482"/>
        <w:jc w:val="lef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r>
        <w:rPr>
          <w:rFonts w:hint="default" w:ascii="仿宋" w:hAnsi="仿宋" w:eastAsia="仿宋" w:cs="仿宋"/>
          <w:b/>
          <w:bCs/>
          <w:sz w:val="24"/>
          <w:szCs w:val="24"/>
          <w:lang w:val="en-US" w:eastAsia="zh-CN"/>
        </w:rPr>
        <w:t>履约验收程序</w:t>
      </w:r>
      <w:r>
        <w:rPr>
          <w:rFonts w:hint="eastAsia" w:ascii="仿宋" w:hAnsi="仿宋" w:eastAsia="仿宋" w:cs="仿宋"/>
          <w:b/>
          <w:bCs/>
          <w:sz w:val="24"/>
          <w:szCs w:val="24"/>
          <w:lang w:val="en-US" w:eastAsia="zh-CN"/>
        </w:rPr>
        <w:t>：</w:t>
      </w:r>
      <w:r>
        <w:rPr>
          <w:rFonts w:hint="eastAsia" w:ascii="仿宋" w:hAnsi="仿宋" w:eastAsia="仿宋" w:cs="仿宋"/>
          <w:color w:val="000000"/>
          <w:kern w:val="0"/>
          <w:sz w:val="24"/>
          <w:szCs w:val="24"/>
          <w:u w:val="none"/>
          <w:lang w:val="en-US" w:eastAsia="zh-CN" w:bidi="ar"/>
        </w:rPr>
        <w:t>分批次验收。</w:t>
      </w:r>
    </w:p>
    <w:p w14:paraId="62DDFAEF">
      <w:pPr>
        <w:pStyle w:val="5"/>
        <w:spacing w:line="312" w:lineRule="auto"/>
        <w:ind w:firstLine="480"/>
        <w:jc w:val="left"/>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5.</w:t>
      </w:r>
      <w:r>
        <w:rPr>
          <w:rFonts w:hint="default" w:ascii="仿宋" w:hAnsi="仿宋" w:eastAsia="仿宋" w:cs="仿宋"/>
          <w:b/>
          <w:bCs/>
          <w:sz w:val="24"/>
          <w:szCs w:val="24"/>
          <w:lang w:val="en-US" w:eastAsia="zh-CN"/>
        </w:rPr>
        <w:t>履约验收时间：</w:t>
      </w:r>
      <w:r>
        <w:rPr>
          <w:rFonts w:hint="default" w:ascii="仿宋" w:hAnsi="仿宋" w:eastAsia="仿宋" w:cs="仿宋"/>
          <w:b w:val="0"/>
          <w:bCs w:val="0"/>
          <w:sz w:val="24"/>
          <w:szCs w:val="24"/>
          <w:lang w:val="en-US" w:eastAsia="zh-CN"/>
        </w:rPr>
        <w:t>合同期限内，根据采购人要求分批次送货，完成送货、验收入库视为验收完成。</w:t>
      </w:r>
    </w:p>
    <w:p w14:paraId="28CCA008">
      <w:pPr>
        <w:pStyle w:val="5"/>
        <w:spacing w:line="312" w:lineRule="auto"/>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6.技术履约验收内容：</w:t>
      </w:r>
      <w:r>
        <w:rPr>
          <w:rFonts w:hint="eastAsia" w:ascii="仿宋" w:hAnsi="仿宋" w:eastAsia="仿宋" w:cs="仿宋"/>
          <w:b w:val="0"/>
          <w:bCs w:val="0"/>
          <w:sz w:val="24"/>
          <w:szCs w:val="24"/>
          <w:lang w:val="en-US" w:eastAsia="zh-CN"/>
        </w:rPr>
        <w:t>采购人按照本项目技术要求进行验收。</w:t>
      </w:r>
    </w:p>
    <w:p w14:paraId="1EADC8FD">
      <w:pPr>
        <w:pStyle w:val="5"/>
        <w:spacing w:line="312" w:lineRule="auto"/>
        <w:ind w:firstLine="48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7.商务履约验收内容：</w:t>
      </w:r>
      <w:r>
        <w:rPr>
          <w:rFonts w:hint="eastAsia" w:ascii="仿宋" w:hAnsi="仿宋" w:eastAsia="仿宋" w:cs="仿宋"/>
          <w:b w:val="0"/>
          <w:bCs w:val="0"/>
          <w:sz w:val="24"/>
          <w:szCs w:val="24"/>
          <w:lang w:val="en-US" w:eastAsia="zh-CN"/>
        </w:rPr>
        <w:t>采购人按照本项目商务要求进行验收。</w:t>
      </w:r>
    </w:p>
    <w:p w14:paraId="2D569F53">
      <w:pPr>
        <w:ind w:firstLine="482" w:firstLineChars="200"/>
      </w:pPr>
      <w:bookmarkStart w:id="0" w:name="_GoBack"/>
      <w:bookmarkEnd w:id="0"/>
      <w:r>
        <w:rPr>
          <w:rFonts w:hint="eastAsia" w:ascii="仿宋" w:hAnsi="仿宋" w:eastAsia="仿宋" w:cs="仿宋"/>
          <w:b/>
          <w:bCs/>
          <w:sz w:val="24"/>
          <w:szCs w:val="24"/>
          <w:lang w:val="en-US" w:eastAsia="zh-CN"/>
        </w:rPr>
        <w:t>8.履约验收标准：</w:t>
      </w:r>
      <w:r>
        <w:rPr>
          <w:rFonts w:hint="eastAsia" w:ascii="仿宋" w:hAnsi="仿宋" w:eastAsia="仿宋" w:cs="仿宋"/>
          <w:b w:val="0"/>
          <w:bCs w:val="0"/>
          <w:sz w:val="24"/>
          <w:szCs w:val="24"/>
          <w:lang w:val="en-US" w:eastAsia="zh-CN"/>
        </w:rPr>
        <w:t>采购人按照本项目合同要求进行验收。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36F96"/>
    <w:rsid w:val="13E76BAD"/>
    <w:rsid w:val="169376D8"/>
    <w:rsid w:val="1E560BB7"/>
    <w:rsid w:val="22995516"/>
    <w:rsid w:val="22E569AE"/>
    <w:rsid w:val="25F5515A"/>
    <w:rsid w:val="27AF22E9"/>
    <w:rsid w:val="29D67050"/>
    <w:rsid w:val="2A6C20D4"/>
    <w:rsid w:val="44586B88"/>
    <w:rsid w:val="52AA54FF"/>
    <w:rsid w:val="534E7AD3"/>
    <w:rsid w:val="58F74D91"/>
    <w:rsid w:val="71BB2380"/>
    <w:rsid w:val="7E6B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440" w:lineRule="exact"/>
    </w:pPr>
    <w:rPr>
      <w:rFonts w:ascii="Times New Roman" w:eastAsia="Times New Roman"/>
      <w:sz w:val="20"/>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4281</Words>
  <Characters>4408</Characters>
  <Lines>0</Lines>
  <Paragraphs>0</Paragraphs>
  <TotalTime>21</TotalTime>
  <ScaleCrop>false</ScaleCrop>
  <LinksUpToDate>false</LinksUpToDate>
  <CharactersWithSpaces>4412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2025-06-12T07:06:00Z</dcterms:created>
  <dc:creator>Administrator</dc:creator>
  <cp:lastModifiedBy>小鱼儿</cp:lastModifiedBy>
  <dcterms:modified xsi:type="dcterms:W3CDTF">2025-07-01T02:51:48Z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eyJoZGlkIjoiOTBmMjQxZDZmNWJlYmNlNmRlNTQ2ZDgxODI1YWI3YTIiLCJ1c2VySWQiOiI5NzExMDY4NjMifQ==</vt:lpwstr>
  </property>
  <property fmtid="{D5CDD505-2E9C-101B-9397-08002B2CF9AE}" pid="4" name="ICV">
    <vt:lpwstr>0D8800E125DA4B9C98636FF1ACBC8036_12</vt:lpwstr>
  </property>
</Properties>
</file>