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0AFBC">
      <w:pPr>
        <w:pStyle w:val="5"/>
        <w:jc w:val="center"/>
        <w:outlineLvl w:val="0"/>
        <w:rPr>
          <w:rFonts w:hint="eastAsia" w:ascii="仿宋" w:hAnsi="仿宋" w:eastAsia="仿宋" w:cs="仿宋"/>
          <w:highlight w:val="none"/>
        </w:rPr>
      </w:pPr>
      <w:bookmarkStart w:id="0" w:name="_Toc27801"/>
      <w:r>
        <w:rPr>
          <w:rFonts w:hint="eastAsia" w:ascii="仿宋" w:hAnsi="仿宋" w:eastAsia="仿宋" w:cs="仿宋"/>
          <w:b/>
          <w:sz w:val="36"/>
          <w:highlight w:val="none"/>
        </w:rPr>
        <w:t>第三章 技术、服务及其他要求</w:t>
      </w:r>
      <w:bookmarkEnd w:id="0"/>
    </w:p>
    <w:p w14:paraId="2A709DEE">
      <w:pPr>
        <w:pStyle w:val="5"/>
        <w:ind w:firstLine="480"/>
        <w:jc w:val="left"/>
        <w:rPr>
          <w:rFonts w:hint="eastAsia" w:ascii="仿宋" w:hAnsi="仿宋" w:eastAsia="仿宋" w:cs="仿宋"/>
          <w:highlight w:val="none"/>
        </w:rPr>
      </w:pPr>
      <w:r>
        <w:rPr>
          <w:rFonts w:hint="eastAsia" w:ascii="仿宋" w:hAnsi="仿宋" w:eastAsia="仿宋" w:cs="仿宋"/>
          <w:highlight w:val="none"/>
        </w:rPr>
        <w:t>（注：本章的技术、服务及其他要求中，带“★”的要求为实质性要求。</w:t>
      </w:r>
      <w:r>
        <w:rPr>
          <w:rFonts w:hint="eastAsia" w:ascii="仿宋" w:hAnsi="仿宋" w:eastAsia="仿宋" w:cs="仿宋"/>
          <w:highlight w:val="none"/>
          <w:lang w:eastAsia="zh-CN"/>
        </w:rPr>
        <w:t>采购人</w:t>
      </w:r>
      <w:r>
        <w:rPr>
          <w:rFonts w:hint="eastAsia" w:ascii="仿宋" w:hAnsi="仿宋" w:eastAsia="仿宋" w:cs="仿宋"/>
          <w:highlight w:val="none"/>
        </w:rPr>
        <w:t>、代理机构应当根据项目实际要求合理设定，并在第五章符合性审查中明确响应要求。）</w:t>
      </w:r>
    </w:p>
    <w:p w14:paraId="4F283D2A">
      <w:pPr>
        <w:pStyle w:val="5"/>
        <w:jc w:val="left"/>
        <w:outlineLvl w:val="1"/>
        <w:rPr>
          <w:rFonts w:hint="eastAsia" w:ascii="仿宋" w:hAnsi="仿宋" w:eastAsia="仿宋" w:cs="仿宋"/>
          <w:highlight w:val="none"/>
          <w:lang w:eastAsia="zh-CN"/>
        </w:rPr>
      </w:pPr>
      <w:r>
        <w:rPr>
          <w:rFonts w:hint="eastAsia" w:ascii="仿宋" w:hAnsi="仿宋" w:eastAsia="仿宋" w:cs="仿宋"/>
          <w:b/>
          <w:sz w:val="28"/>
          <w:highlight w:val="none"/>
        </w:rPr>
        <w:t>3.1.</w:t>
      </w:r>
      <w:r>
        <w:rPr>
          <w:rFonts w:hint="eastAsia" w:ascii="仿宋" w:hAnsi="仿宋" w:eastAsia="仿宋" w:cs="仿宋"/>
          <w:b/>
          <w:sz w:val="28"/>
          <w:highlight w:val="none"/>
          <w:lang w:val="en-US" w:eastAsia="zh-CN"/>
        </w:rPr>
        <w:t>标的情况</w:t>
      </w:r>
    </w:p>
    <w:p w14:paraId="16A38033">
      <w:pPr>
        <w:pStyle w:val="5"/>
        <w:jc w:val="left"/>
        <w:outlineLvl w:val="2"/>
        <w:rPr>
          <w:rFonts w:hint="eastAsia" w:ascii="仿宋" w:hAnsi="仿宋" w:eastAsia="仿宋" w:cs="仿宋"/>
          <w:b/>
          <w:bCs/>
          <w:i w:val="0"/>
          <w:iCs w:val="0"/>
        </w:rPr>
      </w:pPr>
      <w:r>
        <w:rPr>
          <w:rFonts w:hint="eastAsia" w:ascii="仿宋" w:hAnsi="仿宋" w:eastAsia="仿宋" w:cs="仿宋"/>
          <w:b/>
          <w:bCs/>
          <w:i w:val="0"/>
          <w:iCs w:val="0"/>
          <w:sz w:val="24"/>
          <w:szCs w:val="24"/>
        </w:rPr>
        <w:t>采购包1：</w:t>
      </w:r>
    </w:p>
    <w:p w14:paraId="767152DC">
      <w:pPr>
        <w:pStyle w:val="5"/>
        <w:ind w:firstLine="480"/>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本项目提供的产品，必须为“四川省药品和医用耗材招采管理系统”中已挂网产品（不含正在挂网和备案的产品）。</w:t>
      </w:r>
    </w:p>
    <w:tbl>
      <w:tblPr>
        <w:tblStyle w:val="2"/>
        <w:tblW w:w="4996"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23"/>
        <w:gridCol w:w="2048"/>
        <w:gridCol w:w="1382"/>
        <w:gridCol w:w="1382"/>
        <w:gridCol w:w="1382"/>
        <w:gridCol w:w="1382"/>
      </w:tblGrid>
      <w:tr w14:paraId="41A88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3" w:hRule="atLeast"/>
          <w:jc w:val="center"/>
        </w:trPr>
        <w:tc>
          <w:tcPr>
            <w:tcW w:w="230" w:type="pct"/>
            <w:vAlign w:val="center"/>
          </w:tcPr>
          <w:p w14:paraId="0BF35650">
            <w:pPr>
              <w:pStyle w:val="5"/>
              <w:jc w:val="center"/>
              <w:rPr>
                <w:rFonts w:hint="eastAsia" w:ascii="仿宋" w:hAnsi="仿宋" w:eastAsia="仿宋" w:cs="仿宋"/>
                <w:lang w:val="en-US" w:eastAsia="zh-CN"/>
              </w:rPr>
            </w:pPr>
            <w:r>
              <w:rPr>
                <w:rFonts w:hint="eastAsia" w:ascii="仿宋" w:hAnsi="仿宋" w:eastAsia="仿宋" w:cs="仿宋"/>
                <w:lang w:val="en-US" w:eastAsia="zh-CN"/>
              </w:rPr>
              <w:t>包号</w:t>
            </w:r>
          </w:p>
        </w:tc>
        <w:tc>
          <w:tcPr>
            <w:tcW w:w="310" w:type="pct"/>
            <w:vAlign w:val="center"/>
          </w:tcPr>
          <w:p w14:paraId="2E95A620">
            <w:pPr>
              <w:pStyle w:val="5"/>
              <w:jc w:val="center"/>
              <w:rPr>
                <w:rFonts w:hint="eastAsia" w:ascii="仿宋" w:hAnsi="仿宋" w:eastAsia="仿宋" w:cs="仿宋"/>
                <w:lang w:val="en-US" w:eastAsia="zh-CN"/>
              </w:rPr>
            </w:pPr>
            <w:r>
              <w:rPr>
                <w:rFonts w:hint="eastAsia" w:ascii="仿宋" w:hAnsi="仿宋" w:eastAsia="仿宋" w:cs="仿宋"/>
                <w:lang w:val="en-US" w:eastAsia="zh-CN"/>
              </w:rPr>
              <w:t>编号</w:t>
            </w:r>
          </w:p>
        </w:tc>
        <w:tc>
          <w:tcPr>
            <w:tcW w:w="1204" w:type="pct"/>
            <w:vAlign w:val="center"/>
          </w:tcPr>
          <w:p w14:paraId="7D9BB332">
            <w:pPr>
              <w:pStyle w:val="5"/>
              <w:jc w:val="center"/>
              <w:rPr>
                <w:rFonts w:hint="eastAsia" w:ascii="仿宋" w:hAnsi="仿宋" w:eastAsia="仿宋" w:cs="仿宋"/>
                <w:lang w:val="en-US" w:eastAsia="zh-CN"/>
              </w:rPr>
            </w:pPr>
            <w:r>
              <w:rPr>
                <w:rFonts w:hint="eastAsia" w:ascii="仿宋" w:hAnsi="仿宋" w:eastAsia="仿宋" w:cs="仿宋"/>
                <w:lang w:val="en-US" w:eastAsia="zh-CN"/>
              </w:rPr>
              <w:t>标的名称</w:t>
            </w:r>
          </w:p>
        </w:tc>
        <w:tc>
          <w:tcPr>
            <w:tcW w:w="813" w:type="pct"/>
            <w:vAlign w:val="center"/>
          </w:tcPr>
          <w:p w14:paraId="5AF6607A">
            <w:pPr>
              <w:pStyle w:val="5"/>
              <w:jc w:val="center"/>
              <w:rPr>
                <w:rFonts w:hint="eastAsia" w:ascii="仿宋" w:hAnsi="仿宋" w:eastAsia="仿宋" w:cs="仿宋"/>
                <w:lang w:val="en-US" w:eastAsia="zh-CN"/>
              </w:rPr>
            </w:pPr>
            <w:r>
              <w:rPr>
                <w:rFonts w:hint="eastAsia" w:ascii="仿宋" w:hAnsi="仿宋" w:eastAsia="仿宋" w:cs="仿宋"/>
                <w:lang w:val="en-US" w:eastAsia="zh-CN"/>
              </w:rPr>
              <w:t>★单价（元）</w:t>
            </w:r>
          </w:p>
        </w:tc>
        <w:tc>
          <w:tcPr>
            <w:tcW w:w="813" w:type="pct"/>
            <w:vAlign w:val="center"/>
          </w:tcPr>
          <w:p w14:paraId="0BAF1E9C">
            <w:pPr>
              <w:pStyle w:val="5"/>
              <w:jc w:val="center"/>
              <w:rPr>
                <w:rFonts w:hint="eastAsia" w:ascii="仿宋" w:hAnsi="仿宋" w:eastAsia="仿宋" w:cs="仿宋"/>
                <w:lang w:val="en-US" w:eastAsia="zh-CN"/>
              </w:rPr>
            </w:pPr>
            <w:r>
              <w:rPr>
                <w:rFonts w:hint="eastAsia" w:ascii="仿宋" w:hAnsi="仿宋" w:eastAsia="仿宋" w:cs="仿宋"/>
                <w:lang w:val="en-US" w:eastAsia="zh-CN"/>
              </w:rPr>
              <w:t>★计量单位</w:t>
            </w:r>
          </w:p>
        </w:tc>
        <w:tc>
          <w:tcPr>
            <w:tcW w:w="813" w:type="pct"/>
            <w:vAlign w:val="center"/>
          </w:tcPr>
          <w:p w14:paraId="7E802DD6">
            <w:pPr>
              <w:pStyle w:val="5"/>
              <w:jc w:val="center"/>
              <w:rPr>
                <w:rFonts w:hint="eastAsia" w:ascii="仿宋" w:hAnsi="仿宋" w:eastAsia="仿宋" w:cs="仿宋"/>
                <w:lang w:val="en-US" w:eastAsia="zh-CN"/>
              </w:rPr>
            </w:pPr>
            <w:r>
              <w:rPr>
                <w:rFonts w:hint="eastAsia" w:ascii="仿宋" w:hAnsi="仿宋" w:eastAsia="仿宋" w:cs="仿宋"/>
                <w:lang w:val="en-US" w:eastAsia="zh-CN"/>
              </w:rPr>
              <w:t>预算金额/最高限价（每年）（元）</w:t>
            </w:r>
          </w:p>
        </w:tc>
        <w:tc>
          <w:tcPr>
            <w:tcW w:w="813" w:type="pct"/>
            <w:vAlign w:val="center"/>
          </w:tcPr>
          <w:p w14:paraId="37AAD556">
            <w:pPr>
              <w:pStyle w:val="5"/>
              <w:jc w:val="center"/>
              <w:rPr>
                <w:rFonts w:hint="eastAsia" w:ascii="仿宋" w:hAnsi="仿宋" w:eastAsia="仿宋" w:cs="仿宋"/>
                <w:lang w:val="en-US" w:eastAsia="zh-CN"/>
              </w:rPr>
            </w:pPr>
            <w:r>
              <w:rPr>
                <w:rFonts w:hint="eastAsia" w:ascii="仿宋" w:hAnsi="仿宋" w:eastAsia="仿宋" w:cs="仿宋"/>
                <w:lang w:val="en-US" w:eastAsia="zh-CN"/>
              </w:rPr>
              <w:t>是否允许进口</w:t>
            </w:r>
          </w:p>
        </w:tc>
      </w:tr>
      <w:tr w14:paraId="12AB8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3" w:hRule="atLeast"/>
          <w:jc w:val="center"/>
        </w:trPr>
        <w:tc>
          <w:tcPr>
            <w:tcW w:w="230" w:type="pct"/>
            <w:vAlign w:val="center"/>
          </w:tcPr>
          <w:p w14:paraId="00D043C0">
            <w:pPr>
              <w:pStyle w:val="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10" w:type="pct"/>
            <w:vAlign w:val="center"/>
          </w:tcPr>
          <w:p w14:paraId="367C7A6D">
            <w:pPr>
              <w:pStyle w:val="5"/>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1204" w:type="pct"/>
            <w:vAlign w:val="center"/>
          </w:tcPr>
          <w:p w14:paraId="1D1C5537">
            <w:pPr>
              <w:keepNext w:val="0"/>
              <w:keepLines w:val="0"/>
              <w:widowControl/>
              <w:suppressLineNumbers w:val="0"/>
              <w:jc w:val="center"/>
              <w:textAlignment w:val="center"/>
              <w:rPr>
                <w:rFonts w:hint="eastAsia" w:ascii="仿宋" w:hAnsi="仿宋" w:eastAsia="仿宋" w:cs="仿宋"/>
                <w:sz w:val="20"/>
                <w:szCs w:val="20"/>
                <w:lang w:val="en-US" w:eastAsia="zh-CN"/>
              </w:rPr>
            </w:pPr>
            <w:r>
              <w:rPr>
                <w:rFonts w:hint="eastAsia" w:ascii="仿宋" w:hAnsi="仿宋" w:eastAsia="仿宋" w:cs="仿宋"/>
                <w:b w:val="0"/>
                <w:bCs w:val="0"/>
                <w:color w:val="auto"/>
                <w:sz w:val="18"/>
                <w:szCs w:val="18"/>
                <w:highlight w:val="none"/>
                <w:shd w:val="clear" w:color="auto" w:fill="auto"/>
                <w:lang w:val="en-US" w:eastAsia="zh-CN"/>
              </w:rPr>
              <w:t>一次性使用泪道引流管</w:t>
            </w:r>
          </w:p>
        </w:tc>
        <w:tc>
          <w:tcPr>
            <w:tcW w:w="813" w:type="pct"/>
            <w:vAlign w:val="center"/>
          </w:tcPr>
          <w:p w14:paraId="4E9CFE00">
            <w:pPr>
              <w:keepNext w:val="0"/>
              <w:keepLines w:val="0"/>
              <w:widowControl/>
              <w:suppressLineNumbers w:val="0"/>
              <w:jc w:val="center"/>
              <w:textAlignment w:val="center"/>
              <w:rPr>
                <w:rFonts w:hint="default" w:ascii="仿宋" w:hAnsi="仿宋" w:eastAsia="仿宋" w:cs="仿宋"/>
                <w:sz w:val="20"/>
                <w:szCs w:val="20"/>
                <w:lang w:val="en-US" w:eastAsia="zh-CN"/>
              </w:rPr>
            </w:pPr>
            <w:r>
              <w:rPr>
                <w:rFonts w:hint="default" w:ascii="仿宋" w:hAnsi="仿宋" w:eastAsia="仿宋" w:cs="仿宋"/>
                <w:sz w:val="20"/>
                <w:szCs w:val="20"/>
                <w:lang w:val="en-US" w:eastAsia="zh-CN"/>
              </w:rPr>
              <w:t>1780</w:t>
            </w:r>
          </w:p>
        </w:tc>
        <w:tc>
          <w:tcPr>
            <w:tcW w:w="813" w:type="pct"/>
            <w:vAlign w:val="center"/>
          </w:tcPr>
          <w:p w14:paraId="5F9D01A8">
            <w:pPr>
              <w:spacing w:line="40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套</w:t>
            </w:r>
          </w:p>
        </w:tc>
        <w:tc>
          <w:tcPr>
            <w:tcW w:w="813" w:type="pct"/>
            <w:vAlign w:val="center"/>
          </w:tcPr>
          <w:p w14:paraId="5AE02908">
            <w:pPr>
              <w:spacing w:line="400" w:lineRule="exact"/>
              <w:jc w:val="center"/>
              <w:rPr>
                <w:rFonts w:hint="eastAsia" w:ascii="仿宋" w:hAnsi="仿宋" w:eastAsia="仿宋" w:cs="仿宋"/>
                <w:sz w:val="20"/>
                <w:szCs w:val="20"/>
                <w:lang w:val="en-US" w:eastAsia="zh-CN"/>
              </w:rPr>
            </w:pPr>
            <w:r>
              <w:rPr>
                <w:rFonts w:hint="eastAsia" w:ascii="仿宋" w:hAnsi="仿宋" w:eastAsia="仿宋" w:cs="仿宋"/>
                <w:b w:val="0"/>
                <w:bCs w:val="0"/>
                <w:color w:val="auto"/>
                <w:sz w:val="20"/>
                <w:szCs w:val="20"/>
                <w:highlight w:val="none"/>
                <w:shd w:val="clear" w:color="auto" w:fill="auto"/>
                <w:lang w:val="en-US" w:eastAsia="zh-CN"/>
              </w:rPr>
              <w:t>据实结算</w:t>
            </w:r>
          </w:p>
        </w:tc>
        <w:tc>
          <w:tcPr>
            <w:tcW w:w="813" w:type="pct"/>
            <w:vAlign w:val="center"/>
          </w:tcPr>
          <w:p w14:paraId="2F54D1E2">
            <w:pPr>
              <w:spacing w:line="400" w:lineRule="exact"/>
              <w:jc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不允许</w:t>
            </w:r>
          </w:p>
        </w:tc>
      </w:tr>
    </w:tbl>
    <w:p w14:paraId="4E16D925">
      <w:pPr>
        <w:pStyle w:val="5"/>
        <w:ind w:firstLine="480"/>
        <w:jc w:val="left"/>
        <w:rPr>
          <w:rFonts w:hint="eastAsia" w:ascii="仿宋" w:hAnsi="仿宋" w:eastAsia="仿宋" w:cs="仿宋"/>
        </w:rPr>
      </w:pPr>
    </w:p>
    <w:p w14:paraId="7AE89EAD">
      <w:pPr>
        <w:pStyle w:val="5"/>
        <w:ind w:firstLine="480"/>
        <w:jc w:val="left"/>
        <w:rPr>
          <w:rFonts w:hint="eastAsia" w:ascii="仿宋" w:hAnsi="仿宋" w:eastAsia="仿宋" w:cs="仿宋"/>
        </w:rPr>
      </w:pPr>
      <w:r>
        <w:rPr>
          <w:rFonts w:hint="eastAsia" w:ascii="仿宋" w:hAnsi="仿宋" w:eastAsia="仿宋" w:cs="仿宋"/>
        </w:rPr>
        <w:t>★注：</w:t>
      </w:r>
      <w:r>
        <w:rPr>
          <w:rFonts w:hint="eastAsia" w:ascii="仿宋" w:hAnsi="仿宋" w:eastAsia="仿宋" w:cs="仿宋"/>
          <w:lang w:eastAsia="zh-CN"/>
        </w:rPr>
        <w:t>竞选人</w:t>
      </w:r>
      <w:r>
        <w:rPr>
          <w:rFonts w:hint="eastAsia" w:ascii="仿宋" w:hAnsi="仿宋" w:eastAsia="仿宋" w:cs="仿宋"/>
        </w:rPr>
        <w:t>响应产品应当明确品牌和规格型号并指向唯一产品，不能指向唯一产品的，应通过报价表唯一产品说明栏补充说明。</w:t>
      </w:r>
    </w:p>
    <w:p w14:paraId="1EFEA060">
      <w:pPr>
        <w:pStyle w:val="5"/>
        <w:jc w:val="left"/>
        <w:rPr>
          <w:rFonts w:hint="eastAsia" w:ascii="仿宋" w:hAnsi="仿宋" w:eastAsia="仿宋" w:cs="仿宋"/>
        </w:rPr>
      </w:pPr>
    </w:p>
    <w:p w14:paraId="110C5F5E">
      <w:pPr>
        <w:pStyle w:val="5"/>
        <w:jc w:val="left"/>
        <w:outlineLvl w:val="1"/>
        <w:rPr>
          <w:rFonts w:hint="eastAsia" w:ascii="仿宋" w:hAnsi="仿宋" w:eastAsia="仿宋" w:cs="仿宋"/>
          <w:lang w:eastAsia="zh-CN"/>
        </w:rPr>
      </w:pPr>
      <w:r>
        <w:rPr>
          <w:rFonts w:hint="eastAsia" w:ascii="仿宋" w:hAnsi="仿宋" w:eastAsia="仿宋" w:cs="仿宋"/>
          <w:b/>
          <w:sz w:val="28"/>
        </w:rPr>
        <w:t>3.2.技术要求</w:t>
      </w:r>
    </w:p>
    <w:p w14:paraId="220A504A">
      <w:pPr>
        <w:pStyle w:val="5"/>
        <w:jc w:val="left"/>
        <w:outlineLvl w:val="2"/>
        <w:rPr>
          <w:rFonts w:hint="eastAsia" w:ascii="仿宋" w:hAnsi="仿宋" w:eastAsia="仿宋" w:cs="仿宋"/>
          <w:b/>
          <w:bCs/>
          <w:sz w:val="22"/>
          <w:szCs w:val="22"/>
        </w:rPr>
      </w:pPr>
      <w:r>
        <w:rPr>
          <w:rFonts w:hint="eastAsia" w:ascii="仿宋" w:hAnsi="仿宋" w:eastAsia="仿宋" w:cs="仿宋"/>
          <w:b/>
          <w:bCs/>
          <w:sz w:val="22"/>
          <w:szCs w:val="22"/>
        </w:rPr>
        <w:t>采购包1：</w:t>
      </w:r>
    </w:p>
    <w:tbl>
      <w:tblPr>
        <w:tblStyle w:val="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0"/>
        <w:gridCol w:w="1159"/>
        <w:gridCol w:w="2082"/>
        <w:gridCol w:w="3024"/>
        <w:gridCol w:w="1494"/>
      </w:tblGrid>
      <w:tr w14:paraId="42357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7" w:hRule="atLeast"/>
        </w:trPr>
        <w:tc>
          <w:tcPr>
            <w:tcW w:w="446" w:type="pct"/>
            <w:vAlign w:val="center"/>
          </w:tcPr>
          <w:p w14:paraId="589BBBF1">
            <w:pPr>
              <w:pStyle w:val="5"/>
              <w:jc w:val="center"/>
              <w:rPr>
                <w:rFonts w:hint="eastAsia" w:ascii="仿宋" w:hAnsi="仿宋" w:eastAsia="仿宋" w:cs="仿宋"/>
              </w:rPr>
            </w:pPr>
            <w:r>
              <w:rPr>
                <w:rFonts w:hint="eastAsia" w:ascii="仿宋" w:hAnsi="仿宋" w:eastAsia="仿宋" w:cs="仿宋"/>
              </w:rPr>
              <w:t>序号</w:t>
            </w:r>
          </w:p>
        </w:tc>
        <w:tc>
          <w:tcPr>
            <w:tcW w:w="680" w:type="pct"/>
            <w:vAlign w:val="center"/>
          </w:tcPr>
          <w:p w14:paraId="0E2E4A04">
            <w:pPr>
              <w:pStyle w:val="5"/>
              <w:jc w:val="center"/>
              <w:rPr>
                <w:rFonts w:hint="eastAsia" w:ascii="仿宋" w:hAnsi="仿宋" w:eastAsia="仿宋" w:cs="仿宋"/>
              </w:rPr>
            </w:pPr>
            <w:r>
              <w:rPr>
                <w:rFonts w:hint="eastAsia" w:ascii="仿宋" w:hAnsi="仿宋" w:eastAsia="仿宋" w:cs="仿宋"/>
                <w:lang w:val="en-US" w:eastAsia="zh-CN"/>
              </w:rPr>
              <w:t>名称</w:t>
            </w:r>
          </w:p>
        </w:tc>
        <w:tc>
          <w:tcPr>
            <w:tcW w:w="1221" w:type="pct"/>
            <w:vAlign w:val="center"/>
          </w:tcPr>
          <w:p w14:paraId="4F771BCD">
            <w:pPr>
              <w:pStyle w:val="5"/>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配送耗材</w:t>
            </w:r>
            <w:r>
              <w:rPr>
                <w:rFonts w:hint="eastAsia" w:ascii="仿宋" w:hAnsi="仿宋" w:eastAsia="仿宋" w:cs="仿宋"/>
                <w:lang w:eastAsia="zh-CN"/>
              </w:rPr>
              <w:t>预期</w:t>
            </w:r>
            <w:r>
              <w:rPr>
                <w:rFonts w:hint="eastAsia" w:ascii="仿宋" w:hAnsi="仿宋" w:eastAsia="仿宋" w:cs="仿宋"/>
                <w:lang w:val="en-US" w:eastAsia="zh-CN"/>
              </w:rPr>
              <w:t>用途</w:t>
            </w:r>
          </w:p>
        </w:tc>
        <w:tc>
          <w:tcPr>
            <w:tcW w:w="1774" w:type="pct"/>
            <w:vAlign w:val="center"/>
          </w:tcPr>
          <w:p w14:paraId="2B50DBEB">
            <w:pPr>
              <w:numPr>
                <w:ilvl w:val="0"/>
                <w:numId w:val="0"/>
              </w:numPr>
              <w:spacing w:line="240" w:lineRule="auto"/>
              <w:ind w:left="0" w:leftChars="0" w:firstLine="0" w:firstLineChars="0"/>
              <w:jc w:val="center"/>
              <w:rPr>
                <w:rFonts w:hint="eastAsia" w:ascii="仿宋" w:hAnsi="仿宋" w:eastAsia="仿宋" w:cs="仿宋"/>
                <w:lang w:val="en-US" w:eastAsia="zh-CN"/>
              </w:rPr>
            </w:pPr>
            <w:r>
              <w:rPr>
                <w:rFonts w:hint="eastAsia" w:ascii="仿宋" w:hAnsi="仿宋" w:eastAsia="仿宋" w:cs="仿宋"/>
                <w:kern w:val="0"/>
                <w:sz w:val="20"/>
                <w:szCs w:val="20"/>
                <w:lang w:val="en-US" w:eastAsia="zh-CN"/>
              </w:rPr>
              <w:t>预期使用的配置</w:t>
            </w:r>
          </w:p>
        </w:tc>
        <w:tc>
          <w:tcPr>
            <w:tcW w:w="876" w:type="pct"/>
            <w:vAlign w:val="center"/>
          </w:tcPr>
          <w:p w14:paraId="3A7AD1E8">
            <w:pPr>
              <w:pStyle w:val="5"/>
              <w:jc w:val="center"/>
              <w:rPr>
                <w:rFonts w:hint="eastAsia" w:ascii="仿宋" w:hAnsi="仿宋" w:eastAsia="仿宋" w:cs="仿宋"/>
                <w:highlight w:val="none"/>
                <w:lang w:val="en-US" w:eastAsia="zh-CN"/>
              </w:rPr>
            </w:pPr>
            <w:r>
              <w:rPr>
                <w:rFonts w:hint="eastAsia" w:ascii="仿宋" w:hAnsi="仿宋" w:eastAsia="仿宋" w:cs="仿宋"/>
                <w:highlight w:val="none"/>
              </w:rPr>
              <w:t>★</w:t>
            </w:r>
            <w:r>
              <w:rPr>
                <w:rFonts w:hint="eastAsia" w:ascii="仿宋" w:hAnsi="仿宋" w:eastAsia="仿宋" w:cs="仿宋"/>
                <w:highlight w:val="none"/>
                <w:lang w:val="en-US" w:eastAsia="zh-CN"/>
              </w:rPr>
              <w:t>是否提供样品</w:t>
            </w:r>
          </w:p>
        </w:tc>
      </w:tr>
      <w:tr w14:paraId="17E51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2" w:hRule="atLeast"/>
        </w:trPr>
        <w:tc>
          <w:tcPr>
            <w:tcW w:w="446" w:type="pct"/>
            <w:vAlign w:val="center"/>
          </w:tcPr>
          <w:p w14:paraId="606D1F51">
            <w:pPr>
              <w:pStyle w:val="5"/>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680" w:type="pct"/>
            <w:vAlign w:val="center"/>
          </w:tcPr>
          <w:p w14:paraId="0124FC67">
            <w:pPr>
              <w:keepNext w:val="0"/>
              <w:keepLines w:val="0"/>
              <w:widowControl/>
              <w:suppressLineNumbers w:val="0"/>
              <w:jc w:val="center"/>
              <w:textAlignment w:val="center"/>
              <w:rPr>
                <w:rFonts w:hint="default" w:ascii="仿宋" w:hAnsi="仿宋" w:eastAsia="仿宋" w:cs="仿宋"/>
                <w:sz w:val="22"/>
                <w:szCs w:val="28"/>
                <w:lang w:val="en-US"/>
              </w:rPr>
            </w:pPr>
            <w:r>
              <w:rPr>
                <w:rFonts w:hint="default" w:ascii="仿宋" w:hAnsi="仿宋" w:eastAsia="仿宋" w:cs="仿宋"/>
                <w:sz w:val="22"/>
                <w:szCs w:val="28"/>
                <w:lang w:val="en-US" w:eastAsia="zh-CN"/>
              </w:rPr>
              <w:t>一次性使用泪道引流管</w:t>
            </w:r>
          </w:p>
        </w:tc>
        <w:tc>
          <w:tcPr>
            <w:tcW w:w="1221" w:type="pct"/>
            <w:vAlign w:val="center"/>
          </w:tcPr>
          <w:p w14:paraId="59D3940B">
            <w:pPr>
              <w:keepNext w:val="0"/>
              <w:keepLines w:val="0"/>
              <w:widowControl/>
              <w:suppressLineNumbers w:val="0"/>
              <w:jc w:val="left"/>
              <w:textAlignment w:val="center"/>
              <w:rPr>
                <w:rFonts w:hint="eastAsia" w:ascii="仿宋" w:hAnsi="仿宋" w:eastAsia="仿宋" w:cs="仿宋"/>
                <w:sz w:val="22"/>
                <w:szCs w:val="28"/>
              </w:rPr>
            </w:pPr>
            <w:r>
              <w:rPr>
                <w:rFonts w:hint="eastAsia" w:ascii="仿宋" w:hAnsi="仿宋" w:eastAsia="仿宋" w:cs="仿宋"/>
                <w:sz w:val="22"/>
                <w:szCs w:val="28"/>
                <w:lang w:val="en-US" w:eastAsia="zh-CN"/>
              </w:rPr>
              <w:t>一次性使用，用于泪道阻塞探通术后、泪囊炎鼻腔泪囊吻合术后、泪小管断裂吻合术后的泪道支撑与植入治疗。</w:t>
            </w:r>
          </w:p>
        </w:tc>
        <w:tc>
          <w:tcPr>
            <w:tcW w:w="1774" w:type="pct"/>
            <w:vAlign w:val="center"/>
          </w:tcPr>
          <w:p w14:paraId="4B761CD2">
            <w:pPr>
              <w:keepNext w:val="0"/>
              <w:keepLines w:val="0"/>
              <w:widowControl/>
              <w:suppressLineNumbers w:val="0"/>
              <w:jc w:val="left"/>
              <w:textAlignment w:val="center"/>
              <w:rPr>
                <w:rFonts w:hint="default" w:ascii="仿宋" w:hAnsi="仿宋" w:eastAsia="仿宋" w:cs="仿宋"/>
                <w:sz w:val="22"/>
                <w:szCs w:val="28"/>
                <w:lang w:val="en-US" w:eastAsia="zh-CN"/>
              </w:rPr>
            </w:pPr>
            <w:r>
              <w:rPr>
                <w:rFonts w:hint="default" w:ascii="仿宋" w:hAnsi="仿宋" w:eastAsia="仿宋" w:cs="仿宋"/>
                <w:sz w:val="22"/>
                <w:szCs w:val="28"/>
                <w:lang w:val="en-US" w:eastAsia="zh-CN"/>
              </w:rPr>
              <w:t>★产地要求：国产；</w:t>
            </w:r>
          </w:p>
          <w:p w14:paraId="4A45A96A">
            <w:pPr>
              <w:keepNext w:val="0"/>
              <w:keepLines w:val="0"/>
              <w:widowControl/>
              <w:suppressLineNumbers w:val="0"/>
              <w:jc w:val="left"/>
              <w:textAlignment w:val="center"/>
              <w:rPr>
                <w:rFonts w:hint="default" w:ascii="仿宋" w:hAnsi="仿宋" w:eastAsia="仿宋" w:cs="仿宋"/>
                <w:sz w:val="22"/>
                <w:szCs w:val="28"/>
                <w:lang w:val="en-US" w:eastAsia="zh-CN"/>
              </w:rPr>
            </w:pPr>
            <w:r>
              <w:rPr>
                <w:rFonts w:hint="default" w:ascii="仿宋" w:hAnsi="仿宋" w:eastAsia="仿宋" w:cs="仿宋"/>
                <w:sz w:val="22"/>
                <w:szCs w:val="28"/>
                <w:lang w:val="en-US" w:eastAsia="zh-CN"/>
              </w:rPr>
              <w:t>可满足成人和儿童患者的需求；</w:t>
            </w:r>
          </w:p>
          <w:p w14:paraId="3E2DBA55">
            <w:pPr>
              <w:keepNext w:val="0"/>
              <w:keepLines w:val="0"/>
              <w:widowControl/>
              <w:suppressLineNumbers w:val="0"/>
              <w:jc w:val="left"/>
              <w:textAlignment w:val="center"/>
              <w:rPr>
                <w:rFonts w:hint="default" w:ascii="仿宋" w:hAnsi="仿宋" w:eastAsia="仿宋" w:cs="仿宋"/>
                <w:sz w:val="22"/>
                <w:szCs w:val="28"/>
                <w:lang w:val="en-US" w:eastAsia="zh-CN"/>
              </w:rPr>
            </w:pPr>
            <w:r>
              <w:rPr>
                <w:rFonts w:hint="default" w:ascii="仿宋" w:hAnsi="仿宋" w:eastAsia="仿宋" w:cs="仿宋"/>
                <w:sz w:val="22"/>
                <w:szCs w:val="28"/>
                <w:lang w:val="en-US" w:eastAsia="zh-CN"/>
              </w:rPr>
              <w:t>参考型号1：管体总长88mm，粗管外径1.0mm，细管外径0.5㎜，管体有标识定位点，无需鼻腔打结勾取；</w:t>
            </w:r>
          </w:p>
          <w:p w14:paraId="52D13B9B">
            <w:pPr>
              <w:keepNext w:val="0"/>
              <w:keepLines w:val="0"/>
              <w:widowControl/>
              <w:suppressLineNumbers w:val="0"/>
              <w:jc w:val="left"/>
              <w:textAlignment w:val="center"/>
              <w:rPr>
                <w:rFonts w:hint="default" w:ascii="仿宋" w:hAnsi="仿宋" w:eastAsia="仿宋" w:cs="仿宋"/>
                <w:sz w:val="22"/>
                <w:szCs w:val="28"/>
                <w:lang w:val="en-US" w:eastAsia="zh-CN"/>
              </w:rPr>
            </w:pPr>
            <w:r>
              <w:rPr>
                <w:rFonts w:hint="default" w:ascii="仿宋" w:hAnsi="仿宋" w:eastAsia="仿宋" w:cs="仿宋"/>
                <w:sz w:val="22"/>
                <w:szCs w:val="28"/>
                <w:lang w:val="en-US" w:eastAsia="zh-CN"/>
              </w:rPr>
              <w:t>参考型号2：管体总长72mm，粗管外径1.0mm，管体有标识定位点，无需鼻腔打结勾取；</w:t>
            </w:r>
          </w:p>
          <w:p w14:paraId="7E38FBFC">
            <w:pPr>
              <w:keepNext w:val="0"/>
              <w:keepLines w:val="0"/>
              <w:widowControl/>
              <w:suppressLineNumbers w:val="0"/>
              <w:jc w:val="left"/>
              <w:textAlignment w:val="center"/>
              <w:rPr>
                <w:rFonts w:hint="default" w:ascii="仿宋" w:hAnsi="仿宋" w:eastAsia="仿宋" w:cs="仿宋"/>
                <w:sz w:val="22"/>
                <w:szCs w:val="28"/>
                <w:lang w:val="en-US" w:eastAsia="zh-CN"/>
              </w:rPr>
            </w:pPr>
            <w:r>
              <w:rPr>
                <w:rFonts w:hint="default" w:ascii="仿宋" w:hAnsi="仿宋" w:eastAsia="仿宋" w:cs="仿宋"/>
                <w:sz w:val="22"/>
                <w:szCs w:val="28"/>
                <w:lang w:val="en-US" w:eastAsia="zh-CN"/>
              </w:rPr>
              <w:t>参考型号3：管体总长580㎜，管体外径1.0㎜，管体内径0.5㎜，管体有标识定位点，橄榄球型泪道探针头。</w:t>
            </w:r>
          </w:p>
        </w:tc>
        <w:tc>
          <w:tcPr>
            <w:tcW w:w="876" w:type="pct"/>
            <w:vAlign w:val="center"/>
          </w:tcPr>
          <w:p w14:paraId="1B7EBF78">
            <w:pPr>
              <w:keepNext w:val="0"/>
              <w:keepLines w:val="0"/>
              <w:widowControl/>
              <w:suppressLineNumbers w:val="0"/>
              <w:jc w:val="center"/>
              <w:textAlignment w:val="center"/>
              <w:rPr>
                <w:rFonts w:hint="default"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是</w:t>
            </w:r>
          </w:p>
        </w:tc>
      </w:tr>
    </w:tbl>
    <w:p w14:paraId="1CA95C73">
      <w:pPr>
        <w:pStyle w:val="5"/>
        <w:jc w:val="left"/>
        <w:outlineLvl w:val="9"/>
        <w:rPr>
          <w:rFonts w:hint="eastAsia" w:ascii="仿宋" w:hAnsi="仿宋" w:eastAsia="仿宋" w:cs="仿宋"/>
          <w:b/>
          <w:sz w:val="28"/>
        </w:rPr>
      </w:pPr>
    </w:p>
    <w:p w14:paraId="6E669A58">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1"/>
        <w:rPr>
          <w:rFonts w:hint="eastAsia" w:ascii="仿宋" w:hAnsi="仿宋" w:eastAsia="仿宋" w:cs="仿宋"/>
          <w:b/>
          <w:bCs/>
          <w:color w:val="000000"/>
          <w:sz w:val="28"/>
          <w:szCs w:val="28"/>
          <w:lang w:val="en-US" w:eastAsia="zh-CN"/>
        </w:rPr>
      </w:pPr>
      <w:r>
        <w:rPr>
          <w:rFonts w:hint="eastAsia" w:ascii="Times New Roman" w:hAnsi="Times New Roman" w:eastAsia="仿宋" w:cs="Times New Roman"/>
          <w:b/>
          <w:bCs/>
          <w:color w:val="auto"/>
          <w:sz w:val="22"/>
          <w:szCs w:val="22"/>
          <w:highlight w:val="none"/>
          <w:shd w:val="clear" w:color="auto" w:fill="auto"/>
          <w:lang w:val="en-US" w:eastAsia="zh-CN"/>
        </w:rPr>
        <w:t>★</w:t>
      </w:r>
      <w:r>
        <w:rPr>
          <w:rFonts w:hint="eastAsia" w:ascii="仿宋" w:hAnsi="仿宋" w:eastAsia="仿宋" w:cs="仿宋"/>
          <w:b/>
          <w:sz w:val="28"/>
        </w:rPr>
        <w:t>3.3.</w:t>
      </w:r>
      <w:r>
        <w:rPr>
          <w:rFonts w:hint="eastAsia" w:ascii="仿宋" w:hAnsi="仿宋" w:eastAsia="仿宋" w:cs="仿宋"/>
          <w:b/>
          <w:sz w:val="28"/>
          <w:lang w:val="en-US" w:eastAsia="zh-CN"/>
        </w:rPr>
        <w:t>项目采购要求</w:t>
      </w:r>
    </w:p>
    <w:p w14:paraId="6EBC00D8">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2"/>
        <w:rPr>
          <w:rFonts w:hint="eastAsia" w:ascii="仿宋" w:hAnsi="仿宋" w:eastAsia="仿宋" w:cs="仿宋"/>
          <w:b/>
          <w:sz w:val="28"/>
          <w:lang w:val="en-US" w:eastAsia="zh-CN"/>
        </w:rPr>
      </w:pPr>
      <w:r>
        <w:rPr>
          <w:rFonts w:hint="eastAsia" w:ascii="仿宋" w:hAnsi="仿宋" w:eastAsia="仿宋" w:cs="仿宋"/>
          <w:b/>
          <w:sz w:val="28"/>
          <w:lang w:val="en-US" w:eastAsia="zh-CN"/>
        </w:rPr>
        <w:t>一、挂网需求</w:t>
      </w:r>
    </w:p>
    <w:p w14:paraId="179A607E">
      <w:pPr>
        <w:ind w:firstLine="440" w:firstLineChars="200"/>
        <w:jc w:val="left"/>
        <w:textAlignment w:val="center"/>
        <w:rPr>
          <w:rFonts w:hint="eastAsia" w:ascii="仿宋" w:hAnsi="仿宋" w:eastAsia="仿宋" w:cs="仿宋"/>
          <w:b w:val="0"/>
          <w:bCs w:val="0"/>
          <w:color w:val="000000"/>
          <w:kern w:val="0"/>
          <w:sz w:val="22"/>
          <w:szCs w:val="22"/>
          <w:u w:val="none"/>
          <w:lang w:val="en-US" w:eastAsia="zh-CN" w:bidi="ar"/>
        </w:rPr>
      </w:pPr>
      <w:r>
        <w:rPr>
          <w:rFonts w:hint="eastAsia" w:ascii="仿宋" w:hAnsi="仿宋" w:eastAsia="仿宋" w:cs="仿宋"/>
          <w:b w:val="0"/>
          <w:bCs w:val="0"/>
          <w:color w:val="000000"/>
          <w:kern w:val="0"/>
          <w:sz w:val="22"/>
          <w:szCs w:val="22"/>
          <w:u w:val="none"/>
          <w:lang w:val="en-US" w:eastAsia="zh-CN" w:bidi="ar"/>
        </w:rPr>
        <w:t>本项目所有标的均须提供挂网产品。</w:t>
      </w:r>
    </w:p>
    <w:p w14:paraId="34465C91">
      <w:pPr>
        <w:ind w:firstLine="440" w:firstLineChars="200"/>
        <w:jc w:val="left"/>
        <w:textAlignment w:val="center"/>
        <w:rPr>
          <w:rFonts w:hint="default" w:ascii="仿宋" w:hAnsi="仿宋" w:eastAsia="仿宋" w:cs="仿宋"/>
          <w:b w:val="0"/>
          <w:bCs w:val="0"/>
          <w:color w:val="000000"/>
          <w:kern w:val="0"/>
          <w:sz w:val="22"/>
          <w:szCs w:val="22"/>
          <w:u w:val="none"/>
          <w:lang w:val="en-US" w:eastAsia="zh-CN" w:bidi="ar"/>
        </w:rPr>
      </w:pPr>
      <w:r>
        <w:rPr>
          <w:rFonts w:hint="eastAsia" w:ascii="仿宋" w:hAnsi="仿宋" w:eastAsia="仿宋" w:cs="仿宋"/>
          <w:b w:val="0"/>
          <w:bCs w:val="0"/>
          <w:color w:val="000000"/>
          <w:kern w:val="0"/>
          <w:sz w:val="22"/>
          <w:szCs w:val="22"/>
          <w:u w:val="none"/>
          <w:lang w:val="en-US" w:eastAsia="zh-CN" w:bidi="ar"/>
        </w:rPr>
        <w:t>注：本项目中所指“挂网产品”，为“四川省药品和医用耗材招采管理系统”中已挂网产品（不含正在挂网和备案的产品）。</w:t>
      </w:r>
    </w:p>
    <w:p w14:paraId="38994FDD">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2"/>
        <w:rPr>
          <w:rFonts w:hint="eastAsia" w:ascii="仿宋" w:hAnsi="仿宋" w:eastAsia="仿宋" w:cs="仿宋"/>
          <w:b/>
          <w:sz w:val="28"/>
          <w:lang w:val="en-US" w:eastAsia="zh-CN"/>
        </w:rPr>
      </w:pPr>
      <w:r>
        <w:rPr>
          <w:rFonts w:hint="eastAsia" w:ascii="仿宋" w:hAnsi="仿宋" w:eastAsia="仿宋" w:cs="仿宋"/>
          <w:b/>
          <w:sz w:val="28"/>
          <w:lang w:val="en-US" w:eastAsia="zh-CN"/>
        </w:rPr>
        <w:t>二、样品要求</w:t>
      </w:r>
    </w:p>
    <w:p w14:paraId="2AA0813E">
      <w:pPr>
        <w:ind w:firstLine="440" w:firstLineChars="200"/>
        <w:jc w:val="left"/>
        <w:textAlignment w:val="center"/>
        <w:rPr>
          <w:rFonts w:hint="default" w:ascii="仿宋" w:hAnsi="仿宋" w:eastAsia="仿宋" w:cs="仿宋"/>
          <w:b w:val="0"/>
          <w:bCs w:val="0"/>
          <w:color w:val="000000"/>
          <w:kern w:val="0"/>
          <w:sz w:val="22"/>
          <w:szCs w:val="22"/>
          <w:u w:val="none"/>
          <w:lang w:val="en-US" w:eastAsia="zh-CN" w:bidi="ar"/>
        </w:rPr>
      </w:pPr>
      <w:r>
        <w:rPr>
          <w:rFonts w:hint="eastAsia" w:ascii="仿宋" w:hAnsi="仿宋" w:eastAsia="仿宋" w:cs="仿宋"/>
          <w:b w:val="0"/>
          <w:bCs w:val="0"/>
          <w:color w:val="000000"/>
          <w:kern w:val="0"/>
          <w:sz w:val="22"/>
          <w:szCs w:val="22"/>
          <w:u w:val="none"/>
          <w:lang w:val="en-US" w:eastAsia="zh-CN" w:bidi="ar"/>
        </w:rPr>
        <w:t>1.必须提供样品，以供评审专家现场评审（如样品和标的产品有同一材质的，竞选人可提供承诺函证明标的产品与样品为同一材质，则无需提供所有标的产品作为样品，</w:t>
      </w:r>
      <w:r>
        <w:rPr>
          <w:rFonts w:hint="eastAsia" w:ascii="仿宋" w:hAnsi="仿宋" w:eastAsia="仿宋" w:cs="仿宋"/>
          <w:b/>
          <w:bCs/>
          <w:color w:val="000000"/>
          <w:kern w:val="0"/>
          <w:sz w:val="22"/>
          <w:szCs w:val="22"/>
          <w:highlight w:val="yellow"/>
          <w:u w:val="none"/>
          <w:lang w:val="en-US" w:eastAsia="zh-CN" w:bidi="ar"/>
        </w:rPr>
        <w:t>承诺函须备注同一材质的标的物序号</w:t>
      </w:r>
      <w:r>
        <w:rPr>
          <w:rFonts w:hint="eastAsia" w:ascii="仿宋" w:hAnsi="仿宋" w:eastAsia="仿宋" w:cs="仿宋"/>
          <w:b w:val="0"/>
          <w:bCs w:val="0"/>
          <w:color w:val="000000"/>
          <w:kern w:val="0"/>
          <w:sz w:val="22"/>
          <w:szCs w:val="22"/>
          <w:u w:val="none"/>
          <w:lang w:val="en-US" w:eastAsia="zh-CN" w:bidi="ar"/>
        </w:rPr>
        <w:t>）。</w:t>
      </w:r>
    </w:p>
    <w:p w14:paraId="50E51E28">
      <w:pPr>
        <w:ind w:firstLine="440" w:firstLineChars="200"/>
        <w:jc w:val="left"/>
        <w:textAlignment w:val="center"/>
        <w:rPr>
          <w:rFonts w:hint="eastAsia" w:ascii="仿宋" w:hAnsi="仿宋" w:eastAsia="仿宋" w:cs="仿宋"/>
          <w:b w:val="0"/>
          <w:bCs w:val="0"/>
          <w:color w:val="000000"/>
          <w:kern w:val="0"/>
          <w:sz w:val="22"/>
          <w:szCs w:val="22"/>
          <w:u w:val="none"/>
          <w:lang w:val="en-US" w:eastAsia="zh-CN" w:bidi="ar"/>
        </w:rPr>
      </w:pPr>
      <w:r>
        <w:rPr>
          <w:rFonts w:hint="eastAsia" w:ascii="仿宋" w:hAnsi="仿宋" w:eastAsia="仿宋" w:cs="仿宋"/>
          <w:b w:val="0"/>
          <w:bCs w:val="0"/>
          <w:color w:val="000000"/>
          <w:kern w:val="0"/>
          <w:sz w:val="22"/>
          <w:szCs w:val="22"/>
          <w:u w:val="none"/>
          <w:lang w:val="en-US" w:eastAsia="zh-CN" w:bidi="ar"/>
        </w:rPr>
        <w:t>2.提交的样品不符合实际需求或存在原理错误则视为无效响应。</w:t>
      </w:r>
    </w:p>
    <w:p w14:paraId="335C7A72">
      <w:pPr>
        <w:ind w:firstLine="440" w:firstLineChars="200"/>
        <w:jc w:val="left"/>
        <w:textAlignment w:val="center"/>
        <w:rPr>
          <w:rFonts w:hint="eastAsia" w:ascii="仿宋" w:hAnsi="仿宋" w:eastAsia="仿宋" w:cs="仿宋"/>
          <w:b w:val="0"/>
          <w:bCs w:val="0"/>
          <w:color w:val="000000"/>
          <w:kern w:val="0"/>
          <w:sz w:val="22"/>
          <w:szCs w:val="22"/>
          <w:u w:val="none"/>
          <w:lang w:val="en-US" w:eastAsia="zh-CN" w:bidi="ar"/>
        </w:rPr>
      </w:pPr>
      <w:r>
        <w:rPr>
          <w:rFonts w:hint="eastAsia" w:ascii="仿宋" w:hAnsi="仿宋" w:eastAsia="仿宋" w:cs="仿宋"/>
          <w:b w:val="0"/>
          <w:bCs w:val="0"/>
          <w:color w:val="000000"/>
          <w:kern w:val="0"/>
          <w:sz w:val="22"/>
          <w:szCs w:val="22"/>
          <w:u w:val="none"/>
          <w:lang w:val="en-US" w:eastAsia="zh-CN" w:bidi="ar"/>
        </w:rPr>
        <w:t>3.本项目竞选人提供的样品，应与该竞选人响应文件保持一致（具体参考《医疗器械说明书和标签管理规定》）。</w:t>
      </w:r>
    </w:p>
    <w:p w14:paraId="538A659C">
      <w:pPr>
        <w:ind w:firstLine="442" w:firstLineChars="200"/>
        <w:jc w:val="left"/>
        <w:textAlignment w:val="center"/>
        <w:rPr>
          <w:rFonts w:hint="default" w:ascii="仿宋" w:hAnsi="仿宋" w:eastAsia="仿宋" w:cs="仿宋"/>
          <w:b/>
          <w:bCs/>
          <w:color w:val="000000"/>
          <w:kern w:val="0"/>
          <w:sz w:val="22"/>
          <w:szCs w:val="22"/>
          <w:highlight w:val="none"/>
          <w:u w:val="none"/>
          <w:lang w:val="en-US" w:eastAsia="zh-CN" w:bidi="ar"/>
        </w:rPr>
      </w:pPr>
      <w:r>
        <w:rPr>
          <w:rFonts w:hint="eastAsia" w:ascii="仿宋" w:hAnsi="仿宋" w:eastAsia="仿宋" w:cs="仿宋"/>
          <w:b/>
          <w:bCs/>
          <w:color w:val="000000"/>
          <w:kern w:val="0"/>
          <w:sz w:val="22"/>
          <w:szCs w:val="22"/>
          <w:highlight w:val="none"/>
          <w:u w:val="none"/>
          <w:lang w:val="en-US" w:eastAsia="zh-CN" w:bidi="ar"/>
        </w:rPr>
        <w:t>注：样品包装需完整，样品评审时将由采购代理机构拍照留存，作为后期验收的依据。</w:t>
      </w:r>
    </w:p>
    <w:p w14:paraId="3202923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2"/>
        <w:rPr>
          <w:rFonts w:hint="default" w:ascii="仿宋" w:hAnsi="仿宋" w:eastAsia="仿宋" w:cs="仿宋"/>
          <w:b/>
          <w:bCs/>
          <w:color w:val="000000"/>
          <w:sz w:val="24"/>
          <w:szCs w:val="24"/>
          <w:lang w:val="en-US" w:eastAsia="zh-CN"/>
        </w:rPr>
      </w:pPr>
      <w:r>
        <w:rPr>
          <w:rFonts w:hint="eastAsia" w:ascii="仿宋" w:hAnsi="仿宋" w:eastAsia="仿宋" w:cs="仿宋"/>
          <w:b/>
          <w:sz w:val="28"/>
          <w:lang w:val="en-US" w:eastAsia="zh-CN"/>
        </w:rPr>
        <w:t>三、商务</w:t>
      </w:r>
      <w:r>
        <w:rPr>
          <w:rFonts w:hint="eastAsia" w:ascii="仿宋" w:hAnsi="仿宋" w:eastAsia="仿宋" w:cs="仿宋"/>
          <w:b/>
          <w:sz w:val="28"/>
        </w:rPr>
        <w:t>要求</w:t>
      </w:r>
      <w:r>
        <w:rPr>
          <w:rFonts w:hint="eastAsia" w:ascii="仿宋" w:hAnsi="仿宋" w:eastAsia="仿宋" w:cs="仿宋"/>
          <w:b/>
          <w:bCs/>
          <w:color w:val="000000"/>
          <w:sz w:val="28"/>
          <w:szCs w:val="28"/>
          <w:lang w:val="en-US" w:eastAsia="zh-CN"/>
        </w:rPr>
        <w:t>：</w:t>
      </w:r>
    </w:p>
    <w:p w14:paraId="11FB4AE3">
      <w:pPr>
        <w:keepNext w:val="0"/>
        <w:keepLines w:val="0"/>
        <w:pageBreakBefore w:val="0"/>
        <w:widowControl w:val="0"/>
        <w:kinsoku/>
        <w:wordWrap/>
        <w:overflowPunct/>
        <w:topLinePunct w:val="0"/>
        <w:autoSpaceDE/>
        <w:autoSpaceDN/>
        <w:bidi w:val="0"/>
        <w:adjustRightInd/>
        <w:snapToGrid/>
        <w:spacing w:line="240" w:lineRule="exact"/>
        <w:ind w:firstLine="420" w:firstLineChars="0"/>
        <w:textAlignment w:val="auto"/>
        <w:outlineLvl w:val="3"/>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1.交货期及地点</w:t>
      </w:r>
    </w:p>
    <w:p w14:paraId="6D074CF3">
      <w:pPr>
        <w:ind w:firstLine="440" w:firstLineChars="200"/>
        <w:jc w:val="left"/>
        <w:textAlignment w:val="center"/>
        <w:rPr>
          <w:rFonts w:hint="eastAsia" w:ascii="仿宋" w:hAnsi="仿宋" w:eastAsia="仿宋" w:cs="仿宋"/>
          <w:b w:val="0"/>
          <w:bCs w:val="0"/>
          <w:color w:val="000000"/>
          <w:kern w:val="0"/>
          <w:sz w:val="22"/>
          <w:szCs w:val="22"/>
          <w:u w:val="none"/>
          <w:lang w:val="en-US" w:eastAsia="zh-CN" w:bidi="ar"/>
        </w:rPr>
      </w:pPr>
      <w:r>
        <w:rPr>
          <w:rFonts w:hint="eastAsia" w:ascii="仿宋" w:hAnsi="仿宋" w:eastAsia="仿宋" w:cs="仿宋"/>
          <w:b w:val="0"/>
          <w:bCs w:val="0"/>
          <w:color w:val="000000"/>
          <w:kern w:val="0"/>
          <w:sz w:val="22"/>
          <w:szCs w:val="22"/>
          <w:u w:val="none"/>
          <w:lang w:val="en-US" w:eastAsia="zh-CN" w:bidi="ar"/>
        </w:rPr>
        <w:t>（1）交货期：</w:t>
      </w:r>
      <w:r>
        <w:rPr>
          <w:rFonts w:hint="eastAsia" w:ascii="仿宋" w:hAnsi="仿宋" w:eastAsia="仿宋" w:cs="仿宋"/>
          <w:color w:val="000000"/>
          <w:kern w:val="0"/>
          <w:sz w:val="22"/>
          <w:szCs w:val="22"/>
          <w:lang w:val="en-US" w:eastAsia="zh-CN" w:bidi="zh-CN"/>
        </w:rPr>
        <w:t>每次配送时间必须严格按照采购人配送通知执行，中选人应于收到通知后2小时内响应。急用产品的配送时间不应超过4小时，一般产品原则上的配送时间不应超过2个工作日。</w:t>
      </w:r>
    </w:p>
    <w:p w14:paraId="2D862EDB">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b w:val="0"/>
          <w:bCs w:val="0"/>
          <w:color w:val="000000"/>
          <w:kern w:val="0"/>
          <w:sz w:val="22"/>
          <w:szCs w:val="22"/>
          <w:u w:val="none"/>
          <w:lang w:val="en-US" w:eastAsia="zh-CN" w:bidi="ar"/>
        </w:rPr>
        <w:t>（2）交货地点：内江</w:t>
      </w:r>
      <w:r>
        <w:rPr>
          <w:rFonts w:hint="eastAsia" w:ascii="仿宋" w:hAnsi="仿宋" w:eastAsia="仿宋" w:cs="仿宋"/>
          <w:color w:val="000000"/>
          <w:kern w:val="0"/>
          <w:sz w:val="22"/>
          <w:szCs w:val="22"/>
          <w:u w:val="none"/>
          <w:lang w:val="en-US" w:eastAsia="zh-CN" w:bidi="ar"/>
        </w:rPr>
        <w:t>市第一人民医院指定地点。</w:t>
      </w:r>
    </w:p>
    <w:p w14:paraId="2A34D656">
      <w:pPr>
        <w:pStyle w:val="5"/>
        <w:ind w:firstLine="480" w:firstLineChars="0"/>
        <w:jc w:val="lef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2.付款方法和条件</w:t>
      </w:r>
    </w:p>
    <w:p w14:paraId="64ABB4F0">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（1）结算方式：货款按实结算且由双方协商决定；</w:t>
      </w:r>
    </w:p>
    <w:p w14:paraId="6C676D50">
      <w:pPr>
        <w:ind w:firstLine="440" w:firstLineChars="200"/>
        <w:jc w:val="left"/>
        <w:textAlignment w:val="center"/>
        <w:rPr>
          <w:rFonts w:hint="eastAsia" w:ascii="仿宋" w:hAnsi="仿宋" w:eastAsia="仿宋" w:cs="仿宋"/>
          <w:sz w:val="24"/>
          <w:szCs w:val="24"/>
          <w:lang w:val="en-US" w:eastAsia="zh-CN"/>
        </w:rPr>
      </w:pPr>
      <w:r>
        <w:rPr>
          <w:rFonts w:hint="eastAsia" w:ascii="仿宋" w:hAnsi="仿宋" w:eastAsia="仿宋" w:cs="仿宋"/>
          <w:color w:val="000000"/>
          <w:kern w:val="0"/>
          <w:sz w:val="22"/>
          <w:szCs w:val="22"/>
          <w:u w:val="none"/>
          <w:lang w:val="en-US" w:eastAsia="zh-CN" w:bidi="ar"/>
        </w:rPr>
        <w:t>（2）成交价格包含成本、运输、包装、培训、配送、伴随服务、税费及其他附加费用</w:t>
      </w:r>
      <w:r>
        <w:rPr>
          <w:rFonts w:hint="eastAsia" w:ascii="仿宋" w:hAnsi="仿宋" w:eastAsia="仿宋" w:cs="仿宋"/>
          <w:sz w:val="24"/>
          <w:szCs w:val="24"/>
          <w:lang w:val="en-US" w:eastAsia="zh-CN"/>
        </w:rPr>
        <w:t>。</w:t>
      </w:r>
    </w:p>
    <w:p w14:paraId="44DEEF70">
      <w:pPr>
        <w:pStyle w:val="5"/>
        <w:ind w:firstLine="480" w:firstLineChars="0"/>
        <w:jc w:val="lef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3.医用耗材质量保证</w:t>
      </w:r>
    </w:p>
    <w:p w14:paraId="052C4538">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（1）成交供应商须提供原厂生产的未曾使用过的、全新的合格的货品（含配套配件等），表面无划伤、无破损痕迹，且权属清楚，不得侵害他人的合法权利；</w:t>
      </w:r>
    </w:p>
    <w:p w14:paraId="361DB23A">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2）成交供应商所提供货品须符合或优于国家（行业）标准、本项目招标文件要求及竞选文件响应内容。当竞选文件响应内容与招标文件要求不一致时，以竞选文件响应内容为准。当竞选文件响应内容与国家标准、行业标准（若有）不一致时，以较高标准为准；</w:t>
      </w:r>
    </w:p>
    <w:p w14:paraId="597F3E57">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（3）成交供应商提供货品的设计技术专利、外形专利等均应符合我国有关法律法规及行业标准，凡因以上问题与第三方发生的任何纠纷均与采购人无关；</w:t>
      </w:r>
    </w:p>
    <w:p w14:paraId="2CC931B3">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（4）成交供应商保证其提供货品的安全可靠性。在正常使用下不应对使用者造成任何人身伤害，如因产品质量或标示不明确而对使用者造成损失的，由成交供应商承担相应责任；</w:t>
      </w:r>
    </w:p>
    <w:p w14:paraId="41E0558D">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成交供应商应保证所供耗材原产地真实，医用耗材是全新的、未使用过的，质量符合国家标准（在无国家标准时，符合行业标准），不得以假充真，以次充好，确保临床医疗安全。如出现质量问题，成交供应商负责按照采购人要求办理退货并承担因耗材质量导致的经济和法律责任。送货时，需向采购人提供以下资料：产品送货单、产品合格证明文件（检验报告单）、进口产品需出具中文标签、进口产品需提供中华人民共和国海关进口货物报关单；</w:t>
      </w:r>
    </w:p>
    <w:p w14:paraId="79901E91">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（6）成交供应商保证所供耗材有效期不低于1年，自通过最终验收之日起，确保采购人在使用耗材的过程中安全、有效。</w:t>
      </w:r>
    </w:p>
    <w:p w14:paraId="46A2E7E9">
      <w:pPr>
        <w:pStyle w:val="5"/>
        <w:ind w:firstLine="480" w:firstLineChars="0"/>
        <w:jc w:val="lef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4.验收</w:t>
      </w:r>
    </w:p>
    <w:p w14:paraId="5C16759B">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1）按照《财政部关于进一步加强政府采购需求和履约验收管理的指导意见》（财库〔2016〕205号）的要求以及采购人招标文件的质量要求和技术指标、成交供应商的竞选文件及承诺（若有）、国家（行业）标准、本合同约定标准进行验收；</w:t>
      </w:r>
    </w:p>
    <w:p w14:paraId="04947797">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2）验收时如发现所交付的货物有短装、次品、损坏或其他不符合验收标准的，采购人应做出详尽的现场记录，此现场记录或备忘录可用作补充、缺失和更换损坏部件的有效证据，由此产生的时间延误与有关费用由成交供应商承担，验收期限相应顺延；</w:t>
      </w:r>
    </w:p>
    <w:p w14:paraId="0CAC0708">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3）若所提供货物不符合验收标准，成交供应商经过2次维修或2次调换后仍不能达到验收质量标准，则视为验收不合格，采购人有权全部（或部分）退货或解除合同。接到采购人退货通知，成交供应商除应及时运走采购人退还的货物外（若涉及费用或损失均由成交供应商自行承担），还应向采购人承担相应的违约责任。</w:t>
      </w:r>
    </w:p>
    <w:p w14:paraId="0481EC65">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（4）</w:t>
      </w:r>
      <w:r>
        <w:rPr>
          <w:rFonts w:hint="default" w:ascii="仿宋" w:hAnsi="仿宋" w:eastAsia="仿宋" w:cs="仿宋"/>
          <w:color w:val="000000"/>
          <w:kern w:val="0"/>
          <w:sz w:val="22"/>
          <w:szCs w:val="22"/>
          <w:lang w:val="en-US" w:eastAsia="zh-CN" w:bidi="zh-CN"/>
        </w:rPr>
        <w:t>其他未尽事宜严格按照《财政部关于进一步加强政府采购需求和履约验收管理的指导意见》（财库〔2016〕205号）的要求进行。</w:t>
      </w:r>
    </w:p>
    <w:p w14:paraId="627159F4">
      <w:pPr>
        <w:pStyle w:val="5"/>
        <w:ind w:firstLine="480" w:firstLineChars="0"/>
        <w:jc w:val="lef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5.售后服务</w:t>
      </w:r>
    </w:p>
    <w:p w14:paraId="4384D013">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1）要求成交供应商必须严格按照招标文件要求和竞选文件中的承诺提供配送服务。如果配送的医用耗材规格、包装等信息与中标产品的规格、包装等信息不一致并不同意更换的，或配送的医用耗材和中标产品不一致的，采购人有权终止合同；</w:t>
      </w:r>
    </w:p>
    <w:p w14:paraId="5C5A86E7">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（2）要求成交供应商指派专人负责与采购人联系售后服务事宜；在竞选文件中列明售后联系人及联系电话；</w:t>
      </w:r>
    </w:p>
    <w:p w14:paraId="2FBF7A58">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3）要求成交供应商须按采购人要求分期分批按时交货，每次配送的时间和数量必须严格按照采购人发送的配送通知执行。要求急需使用的产品4小时内送达，一般情况48小时内送达，若因采购人原因时间变更，以采购人通知时间为准，节假日照常配送，并承诺无条件退换破损和近效期产品；</w:t>
      </w:r>
    </w:p>
    <w:p w14:paraId="0198FC17">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（4）耗材临近失效期，采购人提前三个月向成交供应商提出更换，成交供应商须在耗材失效前一个月更换完毕，不得以任何理由进行推诿；</w:t>
      </w:r>
    </w:p>
    <w:p w14:paraId="1B982BDA">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（5）成交供应商必须随货提供其具备医疗器械经营企业的有关合法有效的手续（包括但不限于）：</w:t>
      </w:r>
    </w:p>
    <w:p w14:paraId="06916A49">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5.1产品所涉及逐级授权经销商的医疗器械生产（经营）许可证或生产（经营）企业备案表；</w:t>
      </w:r>
    </w:p>
    <w:p w14:paraId="2C6CD427">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5.2医疗器械产品注册证或备案凭证；</w:t>
      </w:r>
    </w:p>
    <w:p w14:paraId="0DC8F65F">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5.3医疗器械生产企业许可证；</w:t>
      </w:r>
    </w:p>
    <w:p w14:paraId="78864E9F">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5.4经销商获得的委托授权书（逐级）；</w:t>
      </w:r>
    </w:p>
    <w:p w14:paraId="642CBC21">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5.5产品所涉及逐级授权经销商的企业法人营业执照。</w:t>
      </w:r>
    </w:p>
    <w:p w14:paraId="67BF46E1">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5.6采购人要求提供的相关资料。</w:t>
      </w:r>
    </w:p>
    <w:p w14:paraId="60480A01">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6）合同有效期内，项目清单中产品凡是纳入网上集中采购医用耗材的，应在公示后10个工作日内以书面形式告知采购人，应按照四川省医疗保障局下发的《四川省医药机构医用耗材集中采购实施方案》要求进行挂网采购，且挂网采购价格不应高于联动参考价、该产品上月末全省医药机构最低采购价或采购成交价中的任一价格。经甲乙双方商议后，若因乙方或厂家原因无法按上述要求执行的，则甲方可以解除与乙方在成交合同中对该产品的采购相关约定。</w:t>
      </w:r>
    </w:p>
    <w:p w14:paraId="5DE1607C">
      <w:pPr>
        <w:pStyle w:val="5"/>
        <w:ind w:firstLine="480" w:firstLineChars="0"/>
        <w:jc w:val="lef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6.包装和运输 </w:t>
      </w:r>
    </w:p>
    <w:p w14:paraId="54A23333">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 xml:space="preserve">（1）成交供应商须严格按照《商品包装政府采购需求标准(试行)》、《快递包装政府采购需求标准(试行)》(财办库〔2020〕123 号)的要求进行产品及相关快递服务的包装； </w:t>
      </w:r>
    </w:p>
    <w:p w14:paraId="59D56DAE">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 xml:space="preserve">（2）竞选人应当按照约定的方式交付标的物。对于包装方式没有约定或者约定不明确的，应当按照通用的方式包装；没有通用方式的，应当采取足以保护标的物且有利于节约资源，保护生态环境的包装方式； </w:t>
      </w:r>
    </w:p>
    <w:p w14:paraId="262A8457">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（3）本次采购的标的物需要运输，竞选人在合同约定的时间内将标的物运输至合同约定地点。</w:t>
      </w:r>
    </w:p>
    <w:p w14:paraId="68F40CE1">
      <w:pPr>
        <w:pStyle w:val="5"/>
        <w:jc w:val="left"/>
        <w:outlineLvl w:val="1"/>
        <w:rPr>
          <w:rFonts w:hint="eastAsia" w:ascii="仿宋" w:hAnsi="仿宋" w:eastAsia="仿宋" w:cs="仿宋"/>
        </w:rPr>
      </w:pPr>
      <w:r>
        <w:rPr>
          <w:rFonts w:hint="eastAsia" w:ascii="仿宋" w:hAnsi="仿宋" w:eastAsia="仿宋" w:cs="仿宋"/>
          <w:b/>
          <w:sz w:val="28"/>
        </w:rPr>
        <w:t>3.4.其他要求</w:t>
      </w:r>
    </w:p>
    <w:p w14:paraId="2B0927A8">
      <w:pPr>
        <w:pStyle w:val="5"/>
        <w:ind w:firstLine="480" w:firstLineChars="0"/>
        <w:jc w:val="left"/>
        <w:outlineLvl w:val="2"/>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r>
        <w:rPr>
          <w:rFonts w:hint="default" w:ascii="仿宋" w:hAnsi="仿宋" w:eastAsia="仿宋" w:cs="仿宋"/>
          <w:b/>
          <w:bCs/>
          <w:sz w:val="24"/>
          <w:szCs w:val="24"/>
          <w:lang w:val="en-US" w:eastAsia="zh-CN"/>
        </w:rPr>
        <w:t>违约责任与解决争议的方法：</w:t>
      </w:r>
    </w:p>
    <w:p w14:paraId="0EB34499">
      <w:pPr>
        <w:pStyle w:val="5"/>
        <w:ind w:firstLine="480" w:firstLineChars="0"/>
        <w:jc w:val="left"/>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1.1违约责任</w:t>
      </w:r>
    </w:p>
    <w:p w14:paraId="7F2462B0">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（1）乙方逾期15日内不能提供甲方所需医用耗材的，应向甲方每日支付该批次货款千分之三的违约金。</w:t>
      </w:r>
    </w:p>
    <w:p w14:paraId="2F397AC0">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（2）乙方逾期15日及以上不能交付以上产品的，视同不能供货，须向甲方支付该批次货款的10%的违约金，同时甲方可以单方面解除本合同。</w:t>
      </w:r>
    </w:p>
    <w:p w14:paraId="57821E40">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（3）若因乙方原因造成甲方被监管部门通报三次及以上的或者造成甲方违规采购，甲方有权单方面解除本合同。同时</w:t>
      </w:r>
      <w:r>
        <w:rPr>
          <w:rFonts w:hint="default" w:ascii="仿宋" w:hAnsi="仿宋" w:eastAsia="仿宋" w:cs="仿宋"/>
          <w:color w:val="000000"/>
          <w:kern w:val="0"/>
          <w:sz w:val="22"/>
          <w:szCs w:val="22"/>
          <w:u w:val="none"/>
          <w:lang w:val="en-US" w:eastAsia="zh-CN" w:bidi="ar"/>
        </w:rPr>
        <w:t>，</w:t>
      </w:r>
      <w:r>
        <w:rPr>
          <w:rFonts w:hint="eastAsia" w:ascii="仿宋" w:hAnsi="仿宋" w:eastAsia="仿宋" w:cs="仿宋"/>
          <w:color w:val="000000"/>
          <w:kern w:val="0"/>
          <w:sz w:val="22"/>
          <w:szCs w:val="22"/>
          <w:u w:val="none"/>
          <w:lang w:val="en-US" w:eastAsia="zh-CN" w:bidi="ar"/>
        </w:rPr>
        <w:t>甲方有权要求乙方支付该批货物价款20%的违约金。</w:t>
      </w:r>
    </w:p>
    <w:p w14:paraId="58E7C6E2">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4）乙方销售的产品若发生严重医疗不良事件或被国家法定检测机构检测为不合格产品，视为乙方违约导致不能实现本合同目的，甲方有权单方面解除本合同，并要求乙方限期收回不合格产品，并要求乙方需承担合同价款20%的违约金，违约金不足以弥补甲方损失的，乙方还应当承补足。即使产品已经验收入库（或安装调试完毕）后，甲方才发现产品为不合格产品的，也视为乙方违约，乙方应当承担本条约定的责任。同时甲方有权退回库存产品。</w:t>
      </w:r>
    </w:p>
    <w:p w14:paraId="5122A2FA">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（5）若根据法律规定或本协议约定产生甲方退、换货或拒绝收货情形，由乙方承担退换货产生的各项税、费或其他支出。</w:t>
      </w:r>
    </w:p>
    <w:p w14:paraId="6BCFB650">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（6）乙方不能保证及时供货，除应当向甲方承担违约责任外，甲方仍有权单方面解除本合同。</w:t>
      </w:r>
    </w:p>
    <w:p w14:paraId="2B3A7861">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（7）因乙方提供的产品不合格造成甲方或第三人人身损害或财产损失的，由乙方承担赔偿责任。</w:t>
      </w:r>
    </w:p>
    <w:p w14:paraId="0E2E243A">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8）若因乙方原因造成甲方挂网执行存在问题以及线上支付不及时、造成甲方未挂网采购的或者存在其他问题的，乙方应承担违约责任，且甲方有权要求乙方支付该批货物价款20%的违约金，甲方有权单方面解除合同。</w:t>
      </w:r>
    </w:p>
    <w:p w14:paraId="43064594">
      <w:pPr>
        <w:pStyle w:val="5"/>
        <w:ind w:firstLine="480" w:firstLineChars="0"/>
        <w:jc w:val="left"/>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1.2解决合同纠纷的方式</w:t>
      </w:r>
    </w:p>
    <w:p w14:paraId="0DF1C68B">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（1）因货物的质量问题发生的争议，由法定质量鉴定机构或其认可的质量鉴定机构进行质量鉴定。货物符合标准的，鉴定费由甲方承担；货物不符合质量标准的，鉴定费由乙方承担。</w:t>
      </w:r>
    </w:p>
    <w:p w14:paraId="17982348">
      <w:pPr>
        <w:ind w:firstLine="440" w:firstLineChars="200"/>
        <w:jc w:val="left"/>
        <w:textAlignment w:val="center"/>
        <w:rPr>
          <w:rFonts w:hint="default"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（2）合同履行期间，若双方发生争议，可协商或由有关部门调解解决，协商或调解不成的，可向甲方所在地人民法院依法提起诉讼。</w:t>
      </w:r>
    </w:p>
    <w:p w14:paraId="2523CA91">
      <w:pPr>
        <w:pStyle w:val="5"/>
        <w:ind w:firstLine="480"/>
        <w:jc w:val="left"/>
        <w:rPr>
          <w:rFonts w:hint="default" w:ascii="Times New Roman" w:hAnsi="Times New Roman" w:eastAsia="仿宋" w:cs="Times New Roman"/>
          <w:color w:val="auto"/>
          <w:sz w:val="24"/>
          <w:szCs w:val="24"/>
          <w:highlight w:val="yellow"/>
          <w:shd w:val="clear" w:color="auto" w:fill="auto"/>
          <w:lang w:val="en-US" w:eastAsia="zh-CN"/>
        </w:rPr>
      </w:pPr>
      <w:r>
        <w:rPr>
          <w:rFonts w:hint="eastAsia" w:ascii="仿宋" w:hAnsi="仿宋" w:eastAsia="仿宋" w:cs="仿宋"/>
          <w:b/>
          <w:bCs/>
          <w:sz w:val="24"/>
          <w:szCs w:val="24"/>
          <w:lang w:val="en-US" w:eastAsia="zh-CN"/>
        </w:rPr>
        <w:t>2.</w:t>
      </w:r>
      <w:r>
        <w:rPr>
          <w:rFonts w:hint="default" w:ascii="Times New Roman" w:hAnsi="Times New Roman" w:eastAsia="仿宋" w:cs="Times New Roman"/>
          <w:b/>
          <w:bCs/>
          <w:color w:val="auto"/>
          <w:sz w:val="24"/>
          <w:szCs w:val="24"/>
          <w:highlight w:val="none"/>
          <w:shd w:val="clear" w:color="auto" w:fill="auto"/>
        </w:rPr>
        <w:t>履行期限</w:t>
      </w:r>
      <w:r>
        <w:rPr>
          <w:rFonts w:hint="eastAsia" w:ascii="Times New Roman" w:hAnsi="Times New Roman" w:eastAsia="仿宋" w:cs="Times New Roman"/>
          <w:b/>
          <w:bCs/>
          <w:color w:val="auto"/>
          <w:sz w:val="24"/>
          <w:szCs w:val="24"/>
          <w:highlight w:val="none"/>
          <w:shd w:val="clear" w:color="auto" w:fill="auto"/>
          <w:lang w:eastAsia="zh-CN"/>
        </w:rPr>
        <w:t>：</w:t>
      </w:r>
      <w:r>
        <w:rPr>
          <w:rFonts w:hint="eastAsia" w:ascii="仿宋" w:hAnsi="仿宋" w:eastAsia="仿宋" w:cs="仿宋"/>
          <w:color w:val="000000"/>
          <w:kern w:val="0"/>
          <w:sz w:val="22"/>
          <w:szCs w:val="22"/>
          <w:highlight w:val="none"/>
          <w:u w:val="none"/>
          <w:lang w:val="en-US" w:eastAsia="zh-CN" w:bidi="ar"/>
        </w:rPr>
        <w:t>2年。</w:t>
      </w:r>
    </w:p>
    <w:p w14:paraId="4C3FFFEB">
      <w:pPr>
        <w:pStyle w:val="5"/>
        <w:ind w:firstLine="480"/>
        <w:jc w:val="lef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3.支付方式：</w:t>
      </w:r>
      <w:r>
        <w:rPr>
          <w:rFonts w:hint="eastAsia" w:ascii="仿宋" w:hAnsi="仿宋" w:eastAsia="仿宋" w:cs="仿宋"/>
          <w:color w:val="000000"/>
          <w:kern w:val="0"/>
          <w:sz w:val="22"/>
          <w:szCs w:val="22"/>
          <w:u w:val="none"/>
          <w:lang w:val="en-US" w:eastAsia="zh-CN" w:bidi="ar"/>
        </w:rPr>
        <w:t>双方协商确定。</w:t>
      </w:r>
    </w:p>
    <w:p w14:paraId="744961D9">
      <w:pPr>
        <w:pStyle w:val="5"/>
        <w:ind w:firstLine="480"/>
        <w:jc w:val="left"/>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4.</w:t>
      </w:r>
      <w:r>
        <w:rPr>
          <w:rFonts w:hint="default" w:ascii="仿宋" w:hAnsi="仿宋" w:eastAsia="仿宋" w:cs="仿宋"/>
          <w:b/>
          <w:bCs/>
          <w:sz w:val="24"/>
          <w:szCs w:val="24"/>
          <w:lang w:val="en-US" w:eastAsia="zh-CN"/>
        </w:rPr>
        <w:t>履约验收程序</w:t>
      </w:r>
      <w:r>
        <w:rPr>
          <w:rFonts w:hint="eastAsia" w:ascii="仿宋" w:hAnsi="仿宋" w:eastAsia="仿宋" w:cs="仿宋"/>
          <w:b/>
          <w:bCs/>
          <w:sz w:val="24"/>
          <w:szCs w:val="24"/>
          <w:lang w:val="en-US" w:eastAsia="zh-CN"/>
        </w:rPr>
        <w:t>：</w:t>
      </w:r>
      <w:r>
        <w:rPr>
          <w:rFonts w:hint="eastAsia" w:ascii="仿宋" w:hAnsi="仿宋" w:eastAsia="仿宋" w:cs="仿宋"/>
          <w:color w:val="000000"/>
          <w:kern w:val="0"/>
          <w:sz w:val="22"/>
          <w:szCs w:val="22"/>
          <w:u w:val="none"/>
          <w:lang w:val="en-US" w:eastAsia="zh-CN" w:bidi="ar"/>
        </w:rPr>
        <w:t>分批次验收。</w:t>
      </w:r>
    </w:p>
    <w:p w14:paraId="5EB2AC52">
      <w:r>
        <w:rPr>
          <w:rFonts w:hint="eastAsia" w:ascii="仿宋" w:hAnsi="仿宋" w:eastAsia="仿宋" w:cs="仿宋"/>
          <w:b/>
          <w:bCs/>
          <w:sz w:val="24"/>
          <w:szCs w:val="24"/>
          <w:lang w:val="en-US" w:eastAsia="zh-CN"/>
        </w:rPr>
        <w:t>5.</w:t>
      </w:r>
      <w:r>
        <w:rPr>
          <w:rFonts w:hint="default" w:ascii="仿宋" w:hAnsi="仿宋" w:eastAsia="仿宋" w:cs="仿宋"/>
          <w:b/>
          <w:bCs/>
          <w:sz w:val="24"/>
          <w:szCs w:val="24"/>
          <w:lang w:val="en-US" w:eastAsia="zh-CN"/>
        </w:rPr>
        <w:t>履约验收时间：</w:t>
      </w:r>
      <w:r>
        <w:rPr>
          <w:rFonts w:hint="default" w:ascii="仿宋" w:hAnsi="仿宋" w:eastAsia="仿宋" w:cs="仿宋"/>
          <w:color w:val="000000"/>
          <w:kern w:val="0"/>
          <w:sz w:val="22"/>
          <w:szCs w:val="22"/>
          <w:u w:val="none"/>
          <w:lang w:val="en-US" w:eastAsia="zh-CN" w:bidi="ar"/>
        </w:rPr>
        <w:t>合同期限内，根据</w:t>
      </w:r>
      <w:r>
        <w:rPr>
          <w:rFonts w:hint="eastAsia" w:ascii="仿宋" w:hAnsi="仿宋" w:eastAsia="仿宋" w:cs="仿宋"/>
          <w:color w:val="000000"/>
          <w:kern w:val="0"/>
          <w:sz w:val="22"/>
          <w:szCs w:val="22"/>
          <w:u w:val="none"/>
          <w:lang w:val="en-US" w:eastAsia="zh-CN" w:bidi="ar"/>
        </w:rPr>
        <w:t>采购人</w:t>
      </w:r>
      <w:r>
        <w:rPr>
          <w:rFonts w:hint="default" w:ascii="仿宋" w:hAnsi="仿宋" w:eastAsia="仿宋" w:cs="仿宋"/>
          <w:color w:val="000000"/>
          <w:kern w:val="0"/>
          <w:sz w:val="22"/>
          <w:szCs w:val="22"/>
          <w:u w:val="none"/>
          <w:lang w:val="en-US" w:eastAsia="zh-CN" w:bidi="ar"/>
        </w:rPr>
        <w:t>要求分批次送货，完成送货、验收入库视为验收完成</w:t>
      </w:r>
      <w:r>
        <w:rPr>
          <w:rFonts w:hint="eastAsia" w:ascii="仿宋" w:hAnsi="仿宋" w:eastAsia="仿宋" w:cs="仿宋"/>
          <w:color w:val="000000"/>
          <w:kern w:val="0"/>
          <w:sz w:val="22"/>
          <w:szCs w:val="22"/>
          <w:u w:val="none"/>
          <w:lang w:val="en-US" w:eastAsia="zh-CN" w:bidi="ar"/>
        </w:rPr>
        <w:t>。</w:t>
      </w:r>
      <w:r>
        <w:rPr>
          <w:rFonts w:hint="eastAsia" w:ascii="仿宋" w:hAnsi="仿宋" w:eastAsia="仿宋" w:cs="仿宋"/>
          <w:color w:val="000000"/>
          <w:kern w:val="0"/>
          <w:sz w:val="22"/>
          <w:szCs w:val="22"/>
          <w:u w:val="none"/>
          <w:lang w:val="en-US" w:eastAsia="zh-CN" w:bidi="ar"/>
        </w:rPr>
        <w:br w:type="textWrapping"/>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F66F5"/>
    <w:rsid w:val="1057299A"/>
    <w:rsid w:val="108B406B"/>
    <w:rsid w:val="1ACE595C"/>
    <w:rsid w:val="2D666B35"/>
    <w:rsid w:val="312E4E5B"/>
    <w:rsid w:val="368372FD"/>
    <w:rsid w:val="3E441D93"/>
    <w:rsid w:val="4B3701BA"/>
    <w:rsid w:val="6B31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3658</Words>
  <Characters>3725</Characters>
  <Lines>0</Lines>
  <Paragraphs>0</Paragraphs>
  <TotalTime>0</TotalTime>
  <ScaleCrop>false</ScaleCrop>
  <LinksUpToDate>false</LinksUpToDate>
  <CharactersWithSpaces>3730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kimi</cp:lastModifiedBy>
  <dcterms:modified xsi:type="dcterms:W3CDTF">2025-07-22T07:59:50Z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eyJoZGlkIjoiNGNhMWE3NTkxNzZmNGI1MDVkZjYwMjhiNGQ2YjQxMDkiLCJ1c2VySWQiOiI0ODI5Njk1NDgifQ==</vt:lpwstr>
  </property>
  <property fmtid="{D5CDD505-2E9C-101B-9397-08002B2CF9AE}" pid="4" name="ICV">
    <vt:lpwstr>C5B7C8CBB9774CFEB3B6A5951A74B4A9_12</vt:lpwstr>
  </property>
</Properties>
</file>