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EB59">
      <w:pPr>
        <w:spacing w:line="360" w:lineRule="auto"/>
        <w:jc w:val="center"/>
        <w:outlineLvl w:val="0"/>
        <w:rPr>
          <w:rFonts w:hint="eastAsia" w:ascii="宋体" w:hAnsi="宋体" w:cs="宋体"/>
          <w:sz w:val="36"/>
          <w:szCs w:val="36"/>
        </w:rPr>
      </w:pPr>
      <w:r>
        <w:rPr>
          <w:rFonts w:hint="eastAsia" w:ascii="宋体" w:hAnsi="宋体" w:cs="宋体"/>
          <w:b/>
          <w:bCs/>
          <w:kern w:val="44"/>
          <w:sz w:val="36"/>
          <w:szCs w:val="36"/>
        </w:rPr>
        <w:t>采购项目技术、商务及其他要求</w:t>
      </w:r>
    </w:p>
    <w:p w14:paraId="71E9A4E3">
      <w:pPr>
        <w:pStyle w:val="3"/>
        <w:ind w:firstLine="482" w:firstLineChars="200"/>
        <w:outlineLvl w:val="1"/>
        <w:rPr>
          <w:rFonts w:hint="eastAsia" w:hAnsi="宋体" w:cs="宋体"/>
          <w:b/>
          <w:bCs/>
          <w:sz w:val="24"/>
          <w:szCs w:val="24"/>
        </w:rPr>
      </w:pPr>
      <w:bookmarkStart w:id="0" w:name="_Toc217446094"/>
      <w:r>
        <w:rPr>
          <w:rFonts w:hint="eastAsia" w:hAnsi="宋体" w:cs="宋体"/>
          <w:b/>
          <w:bCs/>
          <w:sz w:val="24"/>
          <w:szCs w:val="24"/>
        </w:rPr>
        <w:t>一、项目概述</w:t>
      </w:r>
      <w:bookmarkEnd w:id="0"/>
    </w:p>
    <w:p w14:paraId="00EC475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pacing w:val="-4"/>
          <w:sz w:val="24"/>
          <w:highlight w:val="none"/>
        </w:rPr>
      </w:pPr>
      <w:bookmarkStart w:id="1" w:name="_Toc217446095"/>
      <w:r>
        <w:rPr>
          <w:rFonts w:hint="eastAsia" w:ascii="宋体" w:hAnsi="宋体" w:cs="宋体"/>
          <w:b w:val="0"/>
          <w:bCs w:val="0"/>
          <w:color w:val="auto"/>
          <w:sz w:val="24"/>
          <w:highlight w:val="none"/>
          <w:u w:val="none"/>
          <w:lang w:val="en-US" w:eastAsia="zh-CN"/>
        </w:rPr>
        <w:t>因经典文化传承需要，为丰富校园文化生活、满足广大师生文化需求，学校已连续多年为师生员工提供露天电影放映服务，成为弘扬西南科技大学精神、打造特色校园文化的一张名片，承载着一代又一代西科大人的美好回忆与眷恋。学校已将每周周五晚间露天电影放映视为第二课堂，引导、培养学生正能量、价值观和人生观。故西南科技大学</w:t>
      </w:r>
      <w:r>
        <w:rPr>
          <w:rFonts w:hint="eastAsia" w:ascii="宋体" w:hAnsi="宋体" w:cs="宋体"/>
          <w:color w:val="auto"/>
          <w:sz w:val="24"/>
          <w:highlight w:val="none"/>
        </w:rPr>
        <w:t>拟采购</w:t>
      </w:r>
      <w:r>
        <w:rPr>
          <w:rFonts w:hint="eastAsia" w:ascii="宋体" w:hAnsi="宋体" w:cs="宋体"/>
          <w:color w:val="auto"/>
          <w:sz w:val="24"/>
          <w:highlight w:val="none"/>
          <w:lang w:eastAsia="zh-CN"/>
        </w:rPr>
        <w:t>校工会2026年露天电影放映服务采购项目</w:t>
      </w:r>
      <w:r>
        <w:rPr>
          <w:rFonts w:hint="eastAsia" w:ascii="宋体" w:hAnsi="宋体" w:cs="宋体"/>
          <w:color w:val="auto"/>
          <w:sz w:val="24"/>
          <w:highlight w:val="none"/>
        </w:rPr>
        <w:t>，本项目为1个包</w:t>
      </w:r>
      <w:r>
        <w:rPr>
          <w:rFonts w:hint="eastAsia" w:ascii="宋体" w:hAnsi="宋体" w:cs="宋体"/>
          <w:color w:val="auto"/>
          <w:sz w:val="24"/>
          <w:szCs w:val="28"/>
          <w:highlight w:val="none"/>
        </w:rPr>
        <w:t>。</w:t>
      </w:r>
    </w:p>
    <w:p w14:paraId="100E1740">
      <w:pPr>
        <w:pStyle w:val="3"/>
        <w:ind w:firstLine="482" w:firstLineChars="200"/>
        <w:outlineLvl w:val="1"/>
        <w:rPr>
          <w:rFonts w:hint="eastAsia" w:hAnsi="宋体" w:cs="宋体"/>
          <w:b/>
          <w:bCs/>
          <w:sz w:val="24"/>
          <w:szCs w:val="24"/>
        </w:rPr>
      </w:pPr>
      <w:r>
        <w:rPr>
          <w:rFonts w:hint="eastAsia" w:ascii="宋体" w:hAnsi="宋体" w:eastAsia="宋体" w:cs="宋体"/>
          <w:b/>
          <w:bCs/>
          <w:sz w:val="24"/>
          <w:szCs w:val="24"/>
        </w:rPr>
        <w:t>★</w:t>
      </w:r>
      <w:r>
        <w:rPr>
          <w:rFonts w:hint="eastAsia" w:hAnsi="宋体" w:cs="宋体"/>
          <w:b/>
          <w:bCs/>
          <w:sz w:val="24"/>
          <w:szCs w:val="24"/>
        </w:rPr>
        <w:t>二、</w:t>
      </w:r>
      <w:r>
        <w:rPr>
          <w:rFonts w:hint="eastAsia" w:ascii="宋体" w:hAnsi="宋体" w:cs="宋体"/>
          <w:b/>
          <w:bCs/>
          <w:color w:val="auto"/>
          <w:sz w:val="24"/>
          <w:lang w:eastAsia="zh-CN"/>
        </w:rPr>
        <w:t>采购标的</w:t>
      </w:r>
      <w:r>
        <w:rPr>
          <w:rFonts w:hint="eastAsia" w:hAnsi="宋体" w:cs="宋体"/>
          <w:b/>
          <w:bCs/>
          <w:color w:val="auto"/>
          <w:sz w:val="24"/>
          <w:szCs w:val="24"/>
        </w:rPr>
        <w:t>清单</w:t>
      </w:r>
      <w:r>
        <w:rPr>
          <w:rFonts w:hint="eastAsia" w:ascii="宋体" w:hAnsi="宋体" w:cs="宋体"/>
          <w:b/>
          <w:bCs/>
          <w:color w:val="auto"/>
          <w:sz w:val="24"/>
          <w:lang w:eastAsia="zh-CN"/>
        </w:rPr>
        <w:t>（</w:t>
      </w:r>
      <w:r>
        <w:rPr>
          <w:rFonts w:hint="eastAsia" w:ascii="宋体" w:hAnsi="宋体" w:cs="宋体"/>
          <w:b/>
          <w:bCs/>
          <w:color w:val="auto"/>
          <w:sz w:val="24"/>
          <w:lang w:val="en-US" w:eastAsia="zh-CN"/>
        </w:rPr>
        <w:t>实质性要求</w:t>
      </w:r>
      <w:r>
        <w:rPr>
          <w:rFonts w:hint="eastAsia" w:ascii="宋体" w:hAnsi="宋体" w:cs="宋体"/>
          <w:b/>
          <w:bCs/>
          <w:color w:val="auto"/>
          <w:sz w:val="24"/>
          <w:lang w:eastAsia="zh-CN"/>
        </w:rPr>
        <w:t>）</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3"/>
        <w:gridCol w:w="2937"/>
        <w:gridCol w:w="1049"/>
        <w:gridCol w:w="956"/>
        <w:gridCol w:w="2168"/>
        <w:gridCol w:w="1631"/>
      </w:tblGrid>
      <w:tr w14:paraId="019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1" w:type="dxa"/>
            <w:noWrap w:val="0"/>
            <w:vAlign w:val="center"/>
          </w:tcPr>
          <w:p w14:paraId="317F15A5">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包号</w:t>
            </w:r>
          </w:p>
        </w:tc>
        <w:tc>
          <w:tcPr>
            <w:tcW w:w="733" w:type="dxa"/>
            <w:noWrap w:val="0"/>
            <w:vAlign w:val="center"/>
          </w:tcPr>
          <w:p w14:paraId="55D7EDCB">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序号</w:t>
            </w:r>
          </w:p>
        </w:tc>
        <w:tc>
          <w:tcPr>
            <w:tcW w:w="2937" w:type="dxa"/>
            <w:noWrap w:val="0"/>
            <w:vAlign w:val="center"/>
          </w:tcPr>
          <w:p w14:paraId="135F4168">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标的名称</w:t>
            </w:r>
          </w:p>
        </w:tc>
        <w:tc>
          <w:tcPr>
            <w:tcW w:w="1049" w:type="dxa"/>
            <w:noWrap w:val="0"/>
            <w:vAlign w:val="center"/>
          </w:tcPr>
          <w:p w14:paraId="54EBB0E9">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计量</w:t>
            </w:r>
          </w:p>
          <w:p w14:paraId="5ED17314">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单位</w:t>
            </w:r>
          </w:p>
        </w:tc>
        <w:tc>
          <w:tcPr>
            <w:tcW w:w="956" w:type="dxa"/>
            <w:noWrap w:val="0"/>
            <w:vAlign w:val="center"/>
          </w:tcPr>
          <w:p w14:paraId="001E1736">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数量</w:t>
            </w:r>
          </w:p>
        </w:tc>
        <w:tc>
          <w:tcPr>
            <w:tcW w:w="2168" w:type="dxa"/>
            <w:noWrap w:val="0"/>
            <w:vAlign w:val="center"/>
          </w:tcPr>
          <w:p w14:paraId="11E358BD">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单项限价（元）</w:t>
            </w:r>
          </w:p>
        </w:tc>
        <w:tc>
          <w:tcPr>
            <w:tcW w:w="1631" w:type="dxa"/>
            <w:noWrap w:val="0"/>
            <w:vAlign w:val="center"/>
          </w:tcPr>
          <w:p w14:paraId="17838570">
            <w:pPr>
              <w:spacing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所属行业</w:t>
            </w:r>
          </w:p>
        </w:tc>
      </w:tr>
      <w:tr w14:paraId="08D0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1" w:type="dxa"/>
            <w:noWrap w:val="0"/>
            <w:vAlign w:val="center"/>
          </w:tcPr>
          <w:p w14:paraId="7DE2E047">
            <w:pPr>
              <w:adjustRightInd w:val="0"/>
              <w:snapToGrid w:val="0"/>
              <w:jc w:val="center"/>
              <w:textAlignment w:val="center"/>
              <w:rPr>
                <w:rFonts w:ascii="宋体" w:hAnsi="宋体" w:eastAsia="宋体" w:cs="宋体"/>
                <w:b/>
                <w:bCs/>
                <w:sz w:val="28"/>
                <w:szCs w:val="28"/>
              </w:rPr>
            </w:pPr>
            <w:r>
              <w:rPr>
                <w:rFonts w:hint="eastAsia" w:ascii="宋体" w:hAnsi="宋体" w:eastAsia="宋体" w:cs="宋体"/>
                <w:b/>
                <w:bCs/>
                <w:sz w:val="28"/>
                <w:szCs w:val="28"/>
              </w:rPr>
              <w:t>1</w:t>
            </w:r>
          </w:p>
        </w:tc>
        <w:tc>
          <w:tcPr>
            <w:tcW w:w="733" w:type="dxa"/>
            <w:noWrap w:val="0"/>
            <w:vAlign w:val="center"/>
          </w:tcPr>
          <w:p w14:paraId="13813F32">
            <w:pPr>
              <w:adjustRightInd w:val="0"/>
              <w:snapToGrid w:val="0"/>
              <w:jc w:val="center"/>
              <w:textAlignment w:val="center"/>
              <w:rPr>
                <w:rFonts w:ascii="宋体" w:hAnsi="宋体" w:eastAsia="宋体" w:cs="宋体"/>
                <w:b/>
                <w:bCs/>
                <w:sz w:val="28"/>
                <w:szCs w:val="28"/>
              </w:rPr>
            </w:pPr>
            <w:r>
              <w:rPr>
                <w:rFonts w:hint="eastAsia" w:ascii="宋体" w:hAnsi="宋体" w:eastAsia="宋体" w:cs="宋体"/>
                <w:b/>
                <w:bCs/>
                <w:sz w:val="28"/>
                <w:szCs w:val="28"/>
              </w:rPr>
              <w:t>1</w:t>
            </w:r>
          </w:p>
        </w:tc>
        <w:tc>
          <w:tcPr>
            <w:tcW w:w="2937" w:type="dxa"/>
            <w:noWrap w:val="0"/>
            <w:vAlign w:val="center"/>
          </w:tcPr>
          <w:p w14:paraId="3D03330A">
            <w:pPr>
              <w:adjustRightInd w:val="0"/>
              <w:snapToGrid w:val="0"/>
              <w:jc w:val="center"/>
              <w:textAlignment w:val="center"/>
              <w:rPr>
                <w:rFonts w:ascii="宋体" w:hAnsi="宋体" w:eastAsia="宋体" w:cs="宋体"/>
                <w:sz w:val="28"/>
                <w:szCs w:val="28"/>
              </w:rPr>
            </w:pPr>
            <w:r>
              <w:rPr>
                <w:rFonts w:hint="eastAsia" w:ascii="宋体" w:hAnsi="宋体" w:eastAsia="宋体" w:cs="宋体"/>
                <w:sz w:val="28"/>
                <w:szCs w:val="28"/>
              </w:rPr>
              <w:t>2026年露天电影放映服务</w:t>
            </w:r>
          </w:p>
        </w:tc>
        <w:tc>
          <w:tcPr>
            <w:tcW w:w="1049" w:type="dxa"/>
            <w:noWrap w:val="0"/>
            <w:vAlign w:val="center"/>
          </w:tcPr>
          <w:p w14:paraId="596A0DDF">
            <w:pPr>
              <w:adjustRightInd w:val="0"/>
              <w:snapToGrid w:val="0"/>
              <w:jc w:val="center"/>
              <w:textAlignment w:val="center"/>
              <w:rPr>
                <w:rFonts w:ascii="宋体" w:hAnsi="宋体" w:eastAsia="宋体" w:cs="宋体"/>
                <w:sz w:val="28"/>
                <w:szCs w:val="28"/>
              </w:rPr>
            </w:pPr>
            <w:r>
              <w:rPr>
                <w:rFonts w:hint="eastAsia" w:ascii="宋体" w:hAnsi="宋体" w:eastAsia="宋体" w:cs="宋体"/>
                <w:sz w:val="28"/>
                <w:szCs w:val="28"/>
              </w:rPr>
              <w:t>项</w:t>
            </w:r>
          </w:p>
        </w:tc>
        <w:tc>
          <w:tcPr>
            <w:tcW w:w="956" w:type="dxa"/>
            <w:noWrap w:val="0"/>
            <w:vAlign w:val="center"/>
          </w:tcPr>
          <w:p w14:paraId="1B586520">
            <w:pPr>
              <w:adjustRightInd w:val="0"/>
              <w:snapToGrid w:val="0"/>
              <w:jc w:val="center"/>
              <w:textAlignment w:val="center"/>
              <w:rPr>
                <w:rFonts w:ascii="宋体" w:hAnsi="宋体" w:eastAsia="宋体" w:cs="宋体"/>
                <w:sz w:val="28"/>
                <w:szCs w:val="28"/>
              </w:rPr>
            </w:pPr>
            <w:r>
              <w:rPr>
                <w:rFonts w:hint="eastAsia" w:ascii="宋体" w:hAnsi="宋体" w:eastAsia="宋体" w:cs="宋体"/>
                <w:sz w:val="28"/>
                <w:szCs w:val="28"/>
              </w:rPr>
              <w:t>1</w:t>
            </w:r>
          </w:p>
        </w:tc>
        <w:tc>
          <w:tcPr>
            <w:tcW w:w="2168" w:type="dxa"/>
            <w:noWrap w:val="0"/>
            <w:vAlign w:val="center"/>
          </w:tcPr>
          <w:p w14:paraId="69EA79CF">
            <w:pPr>
              <w:adjustRightInd w:val="0"/>
              <w:snapToGrid w:val="0"/>
              <w:jc w:val="center"/>
              <w:textAlignment w:val="center"/>
              <w:rPr>
                <w:rFonts w:ascii="宋体" w:hAnsi="宋体" w:eastAsia="宋体" w:cs="宋体"/>
                <w:sz w:val="28"/>
                <w:szCs w:val="28"/>
              </w:rPr>
            </w:pPr>
            <w:r>
              <w:rPr>
                <w:rFonts w:hint="eastAsia" w:ascii="宋体" w:hAnsi="宋体" w:eastAsia="宋体" w:cs="宋体"/>
                <w:sz w:val="28"/>
                <w:szCs w:val="28"/>
              </w:rPr>
              <w:t>¥400,000.00</w:t>
            </w:r>
          </w:p>
        </w:tc>
        <w:tc>
          <w:tcPr>
            <w:tcW w:w="1631" w:type="dxa"/>
            <w:noWrap w:val="0"/>
            <w:vAlign w:val="center"/>
          </w:tcPr>
          <w:p w14:paraId="39402C73">
            <w:pPr>
              <w:adjustRightInd w:val="0"/>
              <w:snapToGrid w:val="0"/>
              <w:jc w:val="center"/>
              <w:textAlignment w:val="center"/>
              <w:rPr>
                <w:rFonts w:ascii="宋体" w:hAnsi="宋体" w:eastAsia="宋体" w:cs="宋体"/>
                <w:sz w:val="28"/>
                <w:szCs w:val="28"/>
              </w:rPr>
            </w:pPr>
            <w:r>
              <w:rPr>
                <w:rFonts w:hint="eastAsia" w:ascii="宋体" w:hAnsi="宋体" w:eastAsia="宋体" w:cs="宋体"/>
                <w:sz w:val="28"/>
                <w:szCs w:val="28"/>
              </w:rPr>
              <w:t>其他未列明行业</w:t>
            </w:r>
          </w:p>
        </w:tc>
      </w:tr>
    </w:tbl>
    <w:p w14:paraId="43081D32">
      <w:pPr>
        <w:pStyle w:val="3"/>
        <w:ind w:firstLine="482" w:firstLineChars="200"/>
        <w:outlineLvl w:val="1"/>
        <w:rPr>
          <w:rFonts w:hint="eastAsia" w:hAnsi="宋体" w:eastAsia="宋体" w:cs="宋体"/>
          <w:b/>
          <w:bCs/>
          <w:sz w:val="24"/>
          <w:szCs w:val="24"/>
          <w:lang w:eastAsia="zh-CN"/>
        </w:rPr>
      </w:pPr>
      <w:r>
        <w:rPr>
          <w:rFonts w:hint="eastAsia" w:ascii="宋体" w:hAnsi="宋体" w:eastAsia="宋体" w:cs="宋体"/>
          <w:b/>
          <w:bCs/>
          <w:sz w:val="24"/>
          <w:szCs w:val="24"/>
        </w:rPr>
        <w:t>★</w:t>
      </w:r>
      <w:r>
        <w:rPr>
          <w:rFonts w:hint="eastAsia" w:hAnsi="宋体" w:cs="宋体"/>
          <w:b/>
          <w:bCs/>
          <w:sz w:val="24"/>
          <w:szCs w:val="24"/>
        </w:rPr>
        <w:t>三、</w:t>
      </w:r>
      <w:bookmarkEnd w:id="1"/>
      <w:r>
        <w:rPr>
          <w:rFonts w:hint="eastAsia" w:ascii="宋体" w:hAnsi="宋体" w:cs="宋体"/>
          <w:b/>
          <w:bCs/>
          <w:color w:val="auto"/>
          <w:sz w:val="24"/>
        </w:rPr>
        <w:t>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w:t>
      </w:r>
      <w:r>
        <w:rPr>
          <w:rFonts w:hint="eastAsia" w:ascii="宋体" w:hAnsi="宋体" w:cs="宋体"/>
          <w:b/>
          <w:bCs/>
          <w:color w:val="auto"/>
          <w:sz w:val="24"/>
          <w:lang w:eastAsia="zh-CN"/>
        </w:rPr>
        <w:t>（</w:t>
      </w:r>
      <w:r>
        <w:rPr>
          <w:rFonts w:hint="eastAsia" w:ascii="宋体" w:hAnsi="宋体" w:cs="宋体"/>
          <w:b/>
          <w:bCs/>
          <w:color w:val="auto"/>
          <w:sz w:val="24"/>
          <w:lang w:val="en-US" w:eastAsia="zh-CN"/>
        </w:rPr>
        <w:t>实质性要求</w:t>
      </w:r>
      <w:r>
        <w:rPr>
          <w:rFonts w:hint="eastAsia" w:ascii="宋体" w:hAnsi="宋体" w:cs="宋体"/>
          <w:b/>
          <w:bCs/>
          <w:color w:val="auto"/>
          <w:sz w:val="24"/>
          <w:lang w:eastAsia="zh-CN"/>
        </w:rPr>
        <w:t>）</w:t>
      </w:r>
    </w:p>
    <w:p w14:paraId="7E0B3E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（一）2026年露天电影放映服务技术参数：</w:t>
      </w:r>
    </w:p>
    <w:p w14:paraId="161A20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1、具备放映服务项目对校专供最新一线电影素材片源,可随时供学校法制教育、正能量教学及教职工学习提升等特殊情况需要任意点映。</w:t>
      </w:r>
    </w:p>
    <w:p w14:paraId="7890135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2、设备要求：NEC900C、巴可20C以上标准专业放映机、LR双声道，DP2K-20C数字电影机以上设备，DLP技术，光亮度18500流明，3X0.98DLP技术，支持20米银幕，最低要求画面尺寸不小于12米宽X5.5米高,亮度不低于12000LXU+,分辨率不低于2K(2560X1440)。</w:t>
      </w:r>
    </w:p>
    <w:p w14:paraId="687D90F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3、供应商应具有采购人现存的老校区东风牌、新校区松花江牌胶片电影机维保能力，每学期开学对电器、机械、光学、传动进行一次检修，每学期结束分别对放映设备整体维护保养一次。</w:t>
      </w:r>
    </w:p>
    <w:p w14:paraId="10066C0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4、供应商应具有老电</w:t>
      </w:r>
      <w:r>
        <w:rPr>
          <w:rFonts w:hint="eastAsia" w:ascii="宋体" w:hAnsi="宋体" w:eastAsia="宋体" w:cs="宋体"/>
          <w:b w:val="0"/>
          <w:bCs w:val="0"/>
          <w:color w:val="auto"/>
          <w:sz w:val="24"/>
          <w:highlight w:val="none"/>
          <w:u w:val="none"/>
          <w:lang w:val="en-US" w:eastAsia="ko-KR"/>
        </w:rPr>
        <w:t>影</w:t>
      </w:r>
      <w:r>
        <w:rPr>
          <w:rFonts w:hint="eastAsia" w:ascii="宋体" w:hAnsi="宋体" w:eastAsia="宋体" w:cs="宋体"/>
          <w:b w:val="0"/>
          <w:bCs w:val="0"/>
          <w:color w:val="auto"/>
          <w:sz w:val="24"/>
          <w:highlight w:val="none"/>
          <w:u w:val="none"/>
          <w:lang w:val="en-US" w:eastAsia="zh-CN"/>
        </w:rPr>
        <w:t>胶片底版保湿、恒温、修复、翻新、持久存放等传统遗留技术，每年对学校现存的44部胶片电影片进行维护，保持正常使用状态。</w:t>
      </w:r>
    </w:p>
    <w:p w14:paraId="2458862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（二）2026年露天电影放映服务内容:</w:t>
      </w:r>
    </w:p>
    <w:p w14:paraId="3BEE438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供应商2026年上、下学期内每周五安排2个技术放映组分别在青义校区与西山校区放映由学校指定的三部电影(青义校区2部、西山校区1部) 。具体服务内容包含:</w:t>
      </w:r>
    </w:p>
    <w:p w14:paraId="4A23731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1、每周提前三天配合学校在校内宣传发布当周影片信息。</w:t>
      </w:r>
    </w:p>
    <w:p w14:paraId="75BE66C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2、放映当日提前2小时到达现场悬挂银幕、铺设线路、安装调试,放映结束后拆除设备、恢复现场原状态。</w:t>
      </w:r>
    </w:p>
    <w:p w14:paraId="302EA95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3、全年预计放映电</w:t>
      </w:r>
      <w:r>
        <w:rPr>
          <w:rFonts w:hint="eastAsia" w:ascii="宋体" w:hAnsi="宋体" w:eastAsia="宋体" w:cs="宋体"/>
          <w:b w:val="0"/>
          <w:bCs w:val="0"/>
          <w:color w:val="auto"/>
          <w:sz w:val="24"/>
          <w:highlight w:val="none"/>
          <w:u w:val="none"/>
          <w:lang w:val="en-US" w:eastAsia="ko-KR"/>
        </w:rPr>
        <w:t>影</w:t>
      </w:r>
      <w:r>
        <w:rPr>
          <w:rFonts w:hint="eastAsia" w:ascii="宋体" w:hAnsi="宋体" w:eastAsia="宋体" w:cs="宋体"/>
          <w:b w:val="0"/>
          <w:bCs w:val="0"/>
          <w:color w:val="auto"/>
          <w:sz w:val="24"/>
          <w:highlight w:val="none"/>
          <w:u w:val="none"/>
          <w:lang w:val="en-US" w:eastAsia="zh-CN"/>
        </w:rPr>
        <w:t>130余部。</w:t>
      </w:r>
    </w:p>
    <w:p w14:paraId="5AF23E1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4、供应商全年按计划对学校原有的两套放映设备定期检查2次，技术性检修保养2次，如需更换配件，则另外支出。</w:t>
      </w:r>
    </w:p>
    <w:p w14:paraId="36C8414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5、供应商需长年从事高校一线电影放映服务。无放映事故、版权违规、消极服务等情况记录。</w:t>
      </w:r>
    </w:p>
    <w:p w14:paraId="2417DB86">
      <w:pPr>
        <w:pStyle w:val="3"/>
        <w:ind w:firstLine="482" w:firstLineChars="200"/>
        <w:outlineLvl w:val="9"/>
        <w:rPr>
          <w:rFonts w:hint="eastAsia" w:hAnsi="宋体" w:cs="宋体"/>
          <w:b/>
          <w:bCs/>
          <w:sz w:val="24"/>
          <w:szCs w:val="24"/>
          <w:highlight w:val="none"/>
        </w:rPr>
      </w:pPr>
      <w:r>
        <w:rPr>
          <w:rFonts w:hint="eastAsia" w:ascii="宋体" w:hAnsi="宋体" w:cs="宋体"/>
          <w:b/>
          <w:bCs/>
          <w:sz w:val="24"/>
          <w:highlight w:val="none"/>
        </w:rPr>
        <w:t>★</w:t>
      </w:r>
      <w:r>
        <w:rPr>
          <w:rFonts w:hint="eastAsia" w:hAnsi="宋体" w:cs="宋体"/>
          <w:b/>
          <w:bCs/>
          <w:sz w:val="24"/>
          <w:szCs w:val="24"/>
          <w:highlight w:val="none"/>
        </w:rPr>
        <w:t>四、商务要求</w:t>
      </w:r>
      <w:r>
        <w:rPr>
          <w:rFonts w:hint="eastAsia" w:ascii="宋体" w:hAnsi="宋体" w:cs="宋体"/>
          <w:b/>
          <w:bCs/>
          <w:kern w:val="0"/>
          <w:sz w:val="24"/>
          <w:szCs w:val="24"/>
          <w:highlight w:val="none"/>
          <w:lang w:val="en-US" w:eastAsia="zh-CN" w:bidi="ar-SA"/>
        </w:rPr>
        <w:t>（实质性要求）</w:t>
      </w:r>
    </w:p>
    <w:p w14:paraId="421E1F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1、服务期限：自合同签订之日起至2026年12月31日止。</w:t>
      </w:r>
    </w:p>
    <w:p w14:paraId="6CE03DA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2、服务地点：西南科技大学校内指定地点。</w:t>
      </w:r>
    </w:p>
    <w:p w14:paraId="11DAFC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3、履约保证金：</w:t>
      </w:r>
    </w:p>
    <w:p w14:paraId="291A78B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第一，缴纳比例：5%。</w:t>
      </w:r>
    </w:p>
    <w:p w14:paraId="2085F96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第二，缴纳方式：网银转账、支票、汇票、本票、金融机构或担保机构出具的保函等非现金方式缴纳至采购人。</w:t>
      </w:r>
    </w:p>
    <w:p w14:paraId="59F5CF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第三，缴纳说明：</w:t>
      </w:r>
    </w:p>
    <w:p w14:paraId="0C3B564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（1）缴纳金额为合同金额的5%。</w:t>
      </w:r>
    </w:p>
    <w:p w14:paraId="2D08AC7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（2）供应商选择保函方式缴纳的，保函须由成交供应商向采购人提供正本原件。</w:t>
      </w:r>
    </w:p>
    <w:p w14:paraId="038F150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（3）收款单位：西南科技大学；开户银行：中国农业银行绵阳西南科技大学支行；账号：22-240901040000456。</w:t>
      </w:r>
    </w:p>
    <w:p w14:paraId="0F1D036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（4）交款时间：成交通知书发放后，采购合同签订前。</w:t>
      </w:r>
    </w:p>
    <w:p w14:paraId="183F89C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（5）退款时间和方式：自项目履约验收合格后，由成交供应商向采购人提出申请，采购人根据成交供应商实际履约情况退还，其中，合同签订前出具保函的，成交供应商可向采购人申请收回保函正本原件。</w:t>
      </w:r>
    </w:p>
    <w:p w14:paraId="1EE390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（6）履约保证金不予退还情形：包括履约验收结果不合格，或成交供应商未按合同履约，或成交供应商存在其他违反国家相关法律法规的情形。履约保证金不予退还的，采购人将全额上缴学校计划财务处。</w:t>
      </w:r>
    </w:p>
    <w:p w14:paraId="51E8BA4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7）提供保函的担保机构必须是依法成立的具有相关资质和偿付能力的担保机构，保函须真实、有效、可供采购人查询追溯，否则视为成交供应商未有效缴纳履约保证金。若逾期未有效或未足额缴纳履约保证金的，将视成交供应商无故放弃成交资格，采购人有权对无故放弃成交资格的供应商以失信行为记入单位采购诚信档案，并有权追究其相关责任，保留向单位采购监管部门上报有关情况的权利。</w:t>
      </w:r>
    </w:p>
    <w:p w14:paraId="6BB9997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4、履约验收方案</w:t>
      </w:r>
    </w:p>
    <w:p w14:paraId="487E068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4.1验收交付标准和方法：</w:t>
      </w:r>
    </w:p>
    <w:p w14:paraId="229CE7F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第一，成交供应商须在合同约定的服务期限内完成采购人委托的相关服务后，及时向采购人交付已完成服务明细清单。</w:t>
      </w:r>
    </w:p>
    <w:p w14:paraId="7AF642C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第二，成交供应商提供的所有服务须权属清楚，不得侵害他人的知识产权，且符合国家（行业）最新标准、本项目合同条款以及技术服务协议的有关要求。</w:t>
      </w:r>
    </w:p>
    <w:p w14:paraId="5019157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三，成交供应商服务完成交付后至采购人自行组织的履约验收前，若服务出现质量问题的，成交供应商应提供“三包”服务（包修、包换、包退），相关费用以及在此过程中造成的所有安全责任，由成交供应商自行承担。</w:t>
      </w:r>
    </w:p>
    <w:p w14:paraId="1500F1F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4.2验收组织方式：自行验收（采购人自行组织的履约验收不邀请非成交供应商、服务对象、第三方检测机构等参与，任何供应商以及采购相关当事人不得干涉采购人自行验收权利、不得要求采购人变更验收方式）。</w:t>
      </w:r>
    </w:p>
    <w:p w14:paraId="77B743D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4.3履约验收程序与时间：</w:t>
      </w:r>
    </w:p>
    <w:p w14:paraId="39B76F0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第一，验收程序：分阶段验收。</w:t>
      </w:r>
    </w:p>
    <w:p w14:paraId="4362088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第二，验收条件：成交供应商须依据本项目合同条款、技术服务协议，在采购人委托的学校内每学期放映任务结束后，应及时向采购人提出当期验收申请。</w:t>
      </w:r>
    </w:p>
    <w:p w14:paraId="792D9D8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第三，验收时间：采购人在收到成交供应商提出的履约验收申请后15个日历日内自行组织验收该阶段合同金额的100%。</w:t>
      </w:r>
    </w:p>
    <w:p w14:paraId="25DDB2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4.4验收组织的其他事项：</w:t>
      </w:r>
    </w:p>
    <w:p w14:paraId="1321938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第一，若因故推迟验收的，采购人应及时通知成交供应商变更的具体时间，但原则上不超过成交供应商向采购人提出履约验收申请后30个日历日内完成首次履约验收。</w:t>
      </w:r>
    </w:p>
    <w:p w14:paraId="7F36D94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二，验收时出现交付的部分服务要求的实际情况的符合性无法查实时，采购人有权要求成交供应商在双方约定的时间内提供针对该部分服务要求的、由第三方检测机构出具、可查询的检测报告，以此作为采购人履约验收的主要依据之一，但费用由成交供应商自行承担。若成交供应商拒绝或者未在双方约定时间提供符合要求的检测报告的或者提供的检测报告依然无法查实服务要求符合性的，应按照商务要求中“解决争议事项”办法处置。</w:t>
      </w:r>
    </w:p>
    <w:p w14:paraId="1A6FA4A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第三，本项目分两次进行验收，每学期放映任务结束后，供应商按要求向采购人提出当期验收申请。</w:t>
      </w:r>
    </w:p>
    <w:p w14:paraId="52E9548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4.5技术履约验收内容：成交供应商交付服务涉及的响应服务内容实际值与本项目合同条款、技术服务协议、采购文件要求以及成交供应商响应文件（服务内容）及承诺内容的符合性。</w:t>
      </w:r>
    </w:p>
    <w:p w14:paraId="250FD1B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4.6商务履约验收内容：成交供应商的履约过程与本项目合同条款、技术服务协议、采购文件要求以及成交供应商响应文件（商务应答表）及承诺内容的符合性。</w:t>
      </w:r>
    </w:p>
    <w:p w14:paraId="1ADA088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4.7履约验收标准：采购人将依据《财政部关于进一步加强政府采购需求和履约验收管理的指导意见》（财库〔2016〕205号）、《西南科技大学货物、服务采购项目履约验收管理办法》（西南科大〔2025〕2号）的有关要求组织实施，并遵循本项目合同条款、技术服务协议、采购文件要求以及成交供应商响应文件及承诺内容自行组织验收。</w:t>
      </w:r>
    </w:p>
    <w:p w14:paraId="143C77B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4.8履约验收其他事项：针对出现成交供应商履约验收结果不合格的情形，采购人将视情况采取以下措施，并保留进一步追究成交供应商全部违约责任的权利：（1）不予向成交供应商支付本项目合同约定的采购资金；（2）不予向成交供应商退还本项目履约保证金（若涉及保函的，采购人将向出具保函的金融机构或担保机构申请索赔）；（3）视成交供应商提供虚假材料谋取成交，采购人将依据本项目采购合同和技术服务协议、参照政府采购相关法律法规，向学校计划财务处书面报告履约验收有关情况，对成交供应商依法进行惩戒和追究法律责任，同时会同有关部门将成交供应商的失信行为记入诚信档案。</w:t>
      </w:r>
    </w:p>
    <w:p w14:paraId="394E49C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5、付款进度安排</w:t>
      </w:r>
    </w:p>
    <w:p w14:paraId="598D65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5.1付款条件：成交供应商在采购人委托的学校内每学期放映任务结束后，应及时向采购人提出当期验收申请，经采购人组织履约验收合格后，成交供应商须及时向采购人提供真实有效的增值税发票。本项目分两期支付。第一学期，采购人在收到成交供应商提供的增值税发票后10个工作日内，须依据合同约定向成交供应商支付合同金额的45%；第二学期，采购人在收到成交供应商提供的增值税发票后10个工作日内，须依据合同约定向成交供应商支付合同金额的55%。</w:t>
      </w:r>
    </w:p>
    <w:p w14:paraId="457D2AA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5.2补充说明事项：</w:t>
      </w:r>
    </w:p>
    <w:p w14:paraId="2C1359C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第一，若结算时采购人与成交供应商存在付款争议，待争议解决后再支付货款，付款手续按采购人单位财务相关规定进行。</w:t>
      </w:r>
    </w:p>
    <w:p w14:paraId="776594D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二，若成交供应商未提供符合规定的增值税发票等相关单据或资料不齐全、不符合约定的，采购人有权拒绝付款，因此导致迟延付款的责任及造成的采购人损失由成交供应商自行承担，且成交供应商不得因此拒绝履行合同，否则应按合同约定承担违约责任，同时，采购人有权将有关情况向学校计划财务处书面报告，对成交供应商依法进行惩戒和追究法律责任。</w:t>
      </w:r>
    </w:p>
    <w:p w14:paraId="3A844B5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第三，若采购项目所属年度当年年底按照合同约定不能支付的（非采购人主观原因），采购人应及时告知成交供应商，并顺延至次年上级财政预算下达后继续支付相应款项。</w:t>
      </w:r>
    </w:p>
    <w:p w14:paraId="650FEAC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6、违约责任与解决方式：</w:t>
      </w:r>
    </w:p>
    <w:p w14:paraId="4DC8841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第一，违约责任：</w:t>
      </w:r>
    </w:p>
    <w:p w14:paraId="5CF5364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一）成交供应商必须遵守采购合同并执行合同中的各项规定，保证采购合同的正常履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509C134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二）成交供应商逾期未提供本项目采购合同、技术服务协议约定的服务的，或者成交供应商逾期未按照本项目采购合同、技术服务协议约定的服务期限完成服务的，从逾期之日起算，每逾期1个日历日按成交金额的1％向采购人支付违约金；逾期10个日历日（含）的，采购人将视成交供应商未按合同履约，采购人除了向成交供应商追缴相应的违约金外，还会不予退还成交供应商履约保证金、向学校计划财务处书面报告成交供应商违约情况，对成交供应商依法进行惩戒和追究法律责任，由此造成的采购人经济损失由成交供应商承担。注：上述逾期时间由采购人在同一项目中累加计算，具体以采购人认定为准。</w:t>
      </w:r>
    </w:p>
    <w:p w14:paraId="3E2B0DD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三）在采购人自行组织的履约验收阶段出现履约验收结果不合格的情形，或者服务期内成交供应商提供的解决方案和远程指导或者指派专业技术人员赴采购人指定现场仍然无法解决故障或质量问题后，拒绝向采购人重新提供完整的服务或者向采购人重新提供完整的服务在新的质保期内再次出现故障或质量问题的，采购人可依法追究成交供应商的全违约责任，并视具体情形不予支付或者索回本项目采购资金。</w:t>
      </w:r>
    </w:p>
    <w:p w14:paraId="5502A44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四）成交供应商因不可抗力原因导致的合同无法履行，应及时书面报告采购人。经采购人认定情况属实的，可免除成交供应商违约责任，可视具体情形与成交供应商另行签订相关补充协议或书面报告学校计划财务处依法变更成交结果。</w:t>
      </w:r>
    </w:p>
    <w:p w14:paraId="4EAD9A8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（五）其他未尽事宜以合同约定为准。</w:t>
      </w:r>
    </w:p>
    <w:p w14:paraId="2BB3B7F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第二，争议解决办法：</w:t>
      </w:r>
    </w:p>
    <w:p w14:paraId="52C233D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在合同履行期间（含质保期），因成交供应商提供的服务存在缺陷造成服务故障或质量问题出现解决争议时，可由采购人或其指定的第三方机构进行质量鉴定，经鉴定后符合本项目采购合同和技术服务协议约定的标准的，鉴定费由采购人承担；经鉴定后不符合本项目采购合同和技术服务协议约定的标准的，鉴定费由成交供应商自行承担；还可由双方协商或由有关部门调解解决，协商或调解不成的，可向采购人所在地人民法院起诉。</w:t>
      </w:r>
    </w:p>
    <w:p w14:paraId="43B6441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7、知识产权</w:t>
      </w:r>
    </w:p>
    <w:p w14:paraId="28DF052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一，供应商应保证在本项目中使用的任何设备（货物）和服务，不会产生因第三方提出侵犯其专利权、商标权或其它知识产权而引起的法律和经济纠纷，如因专利权、商标权或其它知识产权而引起法律和经济纠纷，由供应商承担所有相关责任。</w:t>
      </w:r>
    </w:p>
    <w:p w14:paraId="2834979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第二，除非采购文件特别规定，采购人享有本项目实施过程中产生的知识成果及知识产权。</w:t>
      </w:r>
    </w:p>
    <w:p w14:paraId="1A5DC97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三，供应商将在采购项目实施过程中采用自有或者第三方知识成果的，应当在响应文件中载明，并提供相关知识产权证明文件。使用该知识成果后，供应商需向采购人提供开发接口和开发手册等技术资料，并承诺提供无限期支持，采购人享有使用权（含采购人委托第三方在该项目后续开发的使用权）。</w:t>
      </w:r>
    </w:p>
    <w:p w14:paraId="30FCD26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第四，如采用供应商所不拥有的知识产权，则在供应商响应报价中必须包括合法获取该知识产权的相关费用。</w:t>
      </w:r>
    </w:p>
    <w:p w14:paraId="40E5F40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8、其他</w:t>
      </w:r>
    </w:p>
    <w:p w14:paraId="317A0B0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第一，本项目履约过程中的服务、安装、调试、检测、试运行等过程的一切安全责任，由成交供应商自行承担。</w:t>
      </w:r>
    </w:p>
    <w:p w14:paraId="1216EB8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第二，本项目实行包干价，供应商报价须包含供应商在履约过程中产生的服务成本、税费、交通运输费、人工劳务费等所有费用，采购人不再另行支付任何费用。</w:t>
      </w:r>
    </w:p>
    <w:p w14:paraId="5E1B725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第三，本项目不收取供应商质量保证金。</w:t>
      </w:r>
    </w:p>
    <w:p w14:paraId="1D6BA36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第四，本项目允许报名供应商自行踏勘现场，采购人不再单独组织。</w:t>
      </w:r>
    </w:p>
    <w:p w14:paraId="24294A04">
      <w:pPr>
        <w:pStyle w:val="2"/>
        <w:spacing w:line="360" w:lineRule="auto"/>
        <w:ind w:firstLine="422" w:firstLineChars="200"/>
        <w:rPr>
          <w:rFonts w:hint="eastAsia" w:ascii="宋体" w:hAnsi="宋体" w:cs="宋体"/>
          <w:b/>
          <w:bCs/>
          <w:sz w:val="21"/>
          <w:szCs w:val="21"/>
        </w:rPr>
      </w:pPr>
      <w:r>
        <w:rPr>
          <w:rFonts w:hint="eastAsia" w:ascii="宋体" w:hAnsi="宋体" w:cs="宋体"/>
          <w:b/>
          <w:bCs/>
          <w:sz w:val="21"/>
          <w:szCs w:val="21"/>
          <w:highlight w:val="none"/>
        </w:rPr>
        <w:t>注：1、以上打“★”号的为本次</w:t>
      </w:r>
      <w:r>
        <w:rPr>
          <w:rFonts w:hint="eastAsia" w:ascii="宋体" w:hAnsi="宋体" w:cs="宋体"/>
          <w:b/>
          <w:bCs/>
          <w:sz w:val="21"/>
          <w:szCs w:val="21"/>
          <w:highlight w:val="none"/>
          <w:lang w:val="en-US" w:eastAsia="zh-CN"/>
        </w:rPr>
        <w:t>采购</w:t>
      </w:r>
      <w:r>
        <w:rPr>
          <w:rFonts w:hint="eastAsia" w:ascii="宋体" w:hAnsi="宋体" w:cs="宋体"/>
          <w:b/>
          <w:bCs/>
          <w:sz w:val="21"/>
          <w:szCs w:val="21"/>
          <w:highlight w:val="none"/>
        </w:rPr>
        <w:t>项</w:t>
      </w:r>
      <w:r>
        <w:rPr>
          <w:rFonts w:hint="eastAsia" w:ascii="宋体" w:hAnsi="宋体" w:cs="宋体"/>
          <w:b/>
          <w:bCs/>
          <w:sz w:val="21"/>
          <w:szCs w:val="21"/>
        </w:rPr>
        <w:t>目的实质性要求，不允许有负偏离。</w:t>
      </w:r>
    </w:p>
    <w:p w14:paraId="661EE30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85030"/>
    <w:rsid w:val="5D98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pPr>
    <w:rPr>
      <w:rFonts w:ascii="宋体"/>
      <w:kern w:val="0"/>
      <w:sz w:val="34"/>
      <w:szCs w:val="22"/>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2026-01-13T03:14:00Z</dcterms:created>
  <dc:creator>智仟项目管理有限公司</dc:creator>
  <cp:lastModifiedBy>智仟项目管理有限公司</cp:lastModifiedBy>
  <dcterms:modified xsi:type="dcterms:W3CDTF">2026-01-13T03:14:27Z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75213713E7454F04B91A3F5156FC778E_11</vt:lpwstr>
  </property>
  <property fmtid="{D5CDD505-2E9C-101B-9397-08002B2CF9AE}" pid="4" name="KSOTemplateDocerSaveRecord">
    <vt:lpwstr>eyJoZGlkIjoiMjdlZWJmMzU0ZWU4YjA4MTBkOTAyMjE3ODhkODI5ODkiLCJ1c2VySWQiOiIxMzA1NzgzNTE0In0=</vt:lpwstr>
  </property>
</Properties>
</file>