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4BD4">
      <w:pPr>
        <w:pStyle w:val="5"/>
        <w:jc w:val="center"/>
        <w:outlineLvl w:val="0"/>
        <w:rPr>
          <w:rFonts w:hint="eastAsia" w:ascii="仿宋" w:hAnsi="仿宋" w:eastAsia="仿宋" w:cs="仿宋"/>
          <w:highlight w:val="none"/>
        </w:rPr>
      </w:pPr>
      <w:bookmarkStart w:id="0" w:name="_Toc27801"/>
      <w:r>
        <w:rPr>
          <w:rFonts w:hint="eastAsia" w:ascii="仿宋" w:hAnsi="仿宋" w:eastAsia="仿宋" w:cs="仿宋"/>
          <w:b/>
          <w:sz w:val="36"/>
          <w:highlight w:val="none"/>
        </w:rPr>
        <w:t>第三章 技术、服务及其他要求</w:t>
      </w:r>
      <w:bookmarkEnd w:id="0"/>
    </w:p>
    <w:p w14:paraId="16FD0ADB">
      <w:pPr>
        <w:pStyle w:val="5"/>
        <w:ind w:firstLine="480"/>
        <w:jc w:val="left"/>
        <w:rPr>
          <w:rFonts w:hint="eastAsia" w:ascii="仿宋" w:hAnsi="仿宋" w:eastAsia="仿宋" w:cs="仿宋"/>
          <w:highlight w:val="none"/>
        </w:rPr>
      </w:pPr>
      <w:r>
        <w:rPr>
          <w:rFonts w:hint="eastAsia" w:ascii="仿宋" w:hAnsi="仿宋" w:eastAsia="仿宋" w:cs="仿宋"/>
          <w:highlight w:val="none"/>
        </w:rPr>
        <w:t>（注：本章的技术、服务及其他要求中，带“★”的要求为实质性要求。</w:t>
      </w:r>
      <w:r>
        <w:rPr>
          <w:rFonts w:hint="eastAsia" w:ascii="仿宋" w:hAnsi="仿宋" w:eastAsia="仿宋" w:cs="仿宋"/>
          <w:highlight w:val="none"/>
          <w:lang w:eastAsia="zh-CN"/>
        </w:rPr>
        <w:t>采购人</w:t>
      </w:r>
      <w:r>
        <w:rPr>
          <w:rFonts w:hint="eastAsia" w:ascii="仿宋" w:hAnsi="仿宋" w:eastAsia="仿宋" w:cs="仿宋"/>
          <w:highlight w:val="none"/>
        </w:rPr>
        <w:t>、代理机构应当根据项目实际要求合理设定，并在第五章符合性审查中明确响应要求。）</w:t>
      </w:r>
    </w:p>
    <w:p w14:paraId="32F834DD">
      <w:pPr>
        <w:pStyle w:val="5"/>
        <w:jc w:val="left"/>
        <w:outlineLvl w:val="1"/>
        <w:rPr>
          <w:rFonts w:hint="eastAsia" w:ascii="仿宋" w:hAnsi="仿宋" w:eastAsia="仿宋" w:cs="仿宋"/>
          <w:highlight w:val="none"/>
          <w:lang w:eastAsia="zh-CN"/>
        </w:rPr>
      </w:pPr>
      <w:r>
        <w:rPr>
          <w:rFonts w:hint="eastAsia" w:ascii="仿宋" w:hAnsi="仿宋" w:eastAsia="仿宋" w:cs="仿宋"/>
          <w:b/>
          <w:sz w:val="28"/>
          <w:highlight w:val="none"/>
        </w:rPr>
        <w:t>3.1.</w:t>
      </w:r>
      <w:r>
        <w:rPr>
          <w:rFonts w:hint="eastAsia" w:ascii="仿宋" w:hAnsi="仿宋" w:eastAsia="仿宋" w:cs="仿宋"/>
          <w:b/>
          <w:sz w:val="28"/>
          <w:highlight w:val="none"/>
          <w:lang w:val="en-US" w:eastAsia="zh-CN"/>
        </w:rPr>
        <w:t>标的情况</w:t>
      </w:r>
    </w:p>
    <w:p w14:paraId="5D00F918">
      <w:pPr>
        <w:pStyle w:val="5"/>
        <w:jc w:val="left"/>
        <w:outlineLvl w:val="2"/>
        <w:rPr>
          <w:rFonts w:hint="eastAsia" w:ascii="仿宋" w:hAnsi="仿宋" w:eastAsia="仿宋" w:cs="仿宋"/>
          <w:b/>
          <w:bCs/>
          <w:i w:val="0"/>
          <w:iCs w:val="0"/>
        </w:rPr>
      </w:pPr>
      <w:r>
        <w:rPr>
          <w:rFonts w:hint="eastAsia" w:ascii="仿宋" w:hAnsi="仿宋" w:eastAsia="仿宋" w:cs="仿宋"/>
          <w:b/>
          <w:bCs/>
          <w:i w:val="0"/>
          <w:iCs w:val="0"/>
          <w:sz w:val="24"/>
          <w:szCs w:val="24"/>
        </w:rPr>
        <w:t>采购包1：</w:t>
      </w:r>
    </w:p>
    <w:p w14:paraId="070E5C97">
      <w:pPr>
        <w:pStyle w:val="5"/>
        <w:ind w:firstLine="480"/>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本项目提供的产品，必须为“四川省药品和医用耗材招采管理系统”中已挂网产品（不含正在挂网和备案的产品）。</w:t>
      </w:r>
    </w:p>
    <w:tbl>
      <w:tblPr>
        <w:tblStyle w:val="2"/>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5"/>
        <w:gridCol w:w="631"/>
        <w:gridCol w:w="2455"/>
        <w:gridCol w:w="1656"/>
        <w:gridCol w:w="1656"/>
        <w:gridCol w:w="1656"/>
      </w:tblGrid>
      <w:tr w14:paraId="06309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3" w:hRule="atLeast"/>
          <w:jc w:val="center"/>
        </w:trPr>
        <w:tc>
          <w:tcPr>
            <w:tcW w:w="273" w:type="pct"/>
            <w:vAlign w:val="center"/>
          </w:tcPr>
          <w:p w14:paraId="464DF4A0">
            <w:pPr>
              <w:pStyle w:val="5"/>
              <w:jc w:val="center"/>
              <w:rPr>
                <w:rFonts w:hint="eastAsia" w:ascii="仿宋" w:hAnsi="仿宋" w:eastAsia="仿宋" w:cs="仿宋"/>
                <w:lang w:val="en-US" w:eastAsia="zh-CN"/>
              </w:rPr>
            </w:pPr>
            <w:r>
              <w:rPr>
                <w:rFonts w:hint="eastAsia" w:ascii="仿宋" w:hAnsi="仿宋" w:eastAsia="仿宋" w:cs="仿宋"/>
                <w:lang w:val="en-US" w:eastAsia="zh-CN"/>
              </w:rPr>
              <w:t>包号</w:t>
            </w:r>
          </w:p>
        </w:tc>
        <w:tc>
          <w:tcPr>
            <w:tcW w:w="370" w:type="pct"/>
            <w:vAlign w:val="center"/>
          </w:tcPr>
          <w:p w14:paraId="5DFB1238">
            <w:pPr>
              <w:pStyle w:val="5"/>
              <w:jc w:val="center"/>
              <w:rPr>
                <w:rFonts w:hint="eastAsia" w:ascii="仿宋" w:hAnsi="仿宋" w:eastAsia="仿宋" w:cs="仿宋"/>
                <w:lang w:val="en-US" w:eastAsia="zh-CN"/>
              </w:rPr>
            </w:pPr>
            <w:r>
              <w:rPr>
                <w:rFonts w:hint="eastAsia" w:ascii="仿宋" w:hAnsi="仿宋" w:eastAsia="仿宋" w:cs="仿宋"/>
                <w:lang w:val="en-US" w:eastAsia="zh-CN"/>
              </w:rPr>
              <w:t>编号</w:t>
            </w:r>
          </w:p>
        </w:tc>
        <w:tc>
          <w:tcPr>
            <w:tcW w:w="1440" w:type="pct"/>
            <w:vAlign w:val="center"/>
          </w:tcPr>
          <w:p w14:paraId="75479793">
            <w:pPr>
              <w:pStyle w:val="5"/>
              <w:jc w:val="center"/>
              <w:rPr>
                <w:rFonts w:hint="eastAsia" w:ascii="仿宋" w:hAnsi="仿宋" w:eastAsia="仿宋" w:cs="仿宋"/>
                <w:lang w:val="en-US" w:eastAsia="zh-CN"/>
              </w:rPr>
            </w:pPr>
            <w:r>
              <w:rPr>
                <w:rFonts w:hint="eastAsia" w:ascii="仿宋" w:hAnsi="仿宋" w:eastAsia="仿宋" w:cs="仿宋"/>
                <w:lang w:val="en-US" w:eastAsia="zh-CN"/>
              </w:rPr>
              <w:t>标的名称</w:t>
            </w:r>
          </w:p>
        </w:tc>
        <w:tc>
          <w:tcPr>
            <w:tcW w:w="971" w:type="pct"/>
            <w:vAlign w:val="center"/>
          </w:tcPr>
          <w:p w14:paraId="04E8553B">
            <w:pPr>
              <w:pStyle w:val="5"/>
              <w:jc w:val="center"/>
              <w:rPr>
                <w:rFonts w:hint="eastAsia" w:ascii="仿宋" w:hAnsi="仿宋" w:eastAsia="仿宋" w:cs="仿宋"/>
                <w:lang w:val="en-US" w:eastAsia="zh-CN"/>
              </w:rPr>
            </w:pPr>
            <w:r>
              <w:rPr>
                <w:rFonts w:hint="eastAsia" w:ascii="仿宋" w:hAnsi="仿宋" w:eastAsia="仿宋" w:cs="仿宋"/>
                <w:lang w:val="en-US" w:eastAsia="zh-CN"/>
              </w:rPr>
              <w:t>★最高单价限价（元）</w:t>
            </w:r>
          </w:p>
        </w:tc>
        <w:tc>
          <w:tcPr>
            <w:tcW w:w="971" w:type="pct"/>
            <w:vAlign w:val="center"/>
          </w:tcPr>
          <w:p w14:paraId="1F8BE7D7">
            <w:pPr>
              <w:pStyle w:val="5"/>
              <w:jc w:val="center"/>
              <w:rPr>
                <w:rFonts w:hint="eastAsia" w:ascii="仿宋" w:hAnsi="仿宋" w:eastAsia="仿宋" w:cs="仿宋"/>
                <w:lang w:val="en-US" w:eastAsia="zh-CN"/>
              </w:rPr>
            </w:pPr>
            <w:r>
              <w:rPr>
                <w:rFonts w:hint="eastAsia" w:ascii="仿宋" w:hAnsi="仿宋" w:eastAsia="仿宋" w:cs="仿宋"/>
                <w:lang w:val="en-US" w:eastAsia="zh-CN"/>
              </w:rPr>
              <w:t>★计量单位</w:t>
            </w:r>
          </w:p>
        </w:tc>
        <w:tc>
          <w:tcPr>
            <w:tcW w:w="971" w:type="pct"/>
            <w:vAlign w:val="center"/>
          </w:tcPr>
          <w:p w14:paraId="01C98B4E">
            <w:pPr>
              <w:pStyle w:val="5"/>
              <w:jc w:val="center"/>
              <w:rPr>
                <w:rFonts w:hint="eastAsia" w:ascii="仿宋" w:hAnsi="仿宋" w:eastAsia="仿宋" w:cs="仿宋"/>
                <w:lang w:val="en-US" w:eastAsia="zh-CN"/>
              </w:rPr>
            </w:pPr>
            <w:r>
              <w:rPr>
                <w:rFonts w:hint="eastAsia" w:ascii="仿宋" w:hAnsi="仿宋" w:eastAsia="仿宋" w:cs="仿宋"/>
                <w:lang w:val="en-US" w:eastAsia="zh-CN"/>
              </w:rPr>
              <w:t>项目最高限价（元）</w:t>
            </w:r>
          </w:p>
        </w:tc>
      </w:tr>
      <w:tr w14:paraId="67061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jc w:val="center"/>
        </w:trPr>
        <w:tc>
          <w:tcPr>
            <w:tcW w:w="273" w:type="pct"/>
            <w:vMerge w:val="restart"/>
            <w:vAlign w:val="center"/>
          </w:tcPr>
          <w:p w14:paraId="0A3B8807">
            <w:pPr>
              <w:pStyle w:val="5"/>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370" w:type="pct"/>
            <w:vAlign w:val="center"/>
          </w:tcPr>
          <w:p w14:paraId="134B04C9">
            <w:pPr>
              <w:pStyle w:val="5"/>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1440" w:type="pct"/>
            <w:vAlign w:val="center"/>
          </w:tcPr>
          <w:p w14:paraId="36E34CB6">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仿宋"/>
                <w:b w:val="0"/>
                <w:bCs w:val="0"/>
                <w:color w:val="auto"/>
                <w:sz w:val="18"/>
                <w:szCs w:val="18"/>
                <w:highlight w:val="none"/>
                <w:shd w:val="clear" w:color="auto" w:fill="auto"/>
                <w:lang w:val="en-US" w:eastAsia="zh-CN"/>
              </w:rPr>
              <w:t>血清分离管</w:t>
            </w:r>
          </w:p>
        </w:tc>
        <w:tc>
          <w:tcPr>
            <w:tcW w:w="1656" w:type="dxa"/>
            <w:vAlign w:val="center"/>
          </w:tcPr>
          <w:p w14:paraId="243A9074">
            <w:pPr>
              <w:keepNext w:val="0"/>
              <w:keepLines w:val="0"/>
              <w:widowControl/>
              <w:suppressLineNumbers w:val="0"/>
              <w:jc w:val="center"/>
              <w:textAlignment w:val="center"/>
              <w:rPr>
                <w:rFonts w:hint="default" w:ascii="仿宋" w:hAnsi="仿宋" w:eastAsia="仿宋" w:cs="仿宋"/>
                <w:kern w:val="0"/>
                <w:sz w:val="20"/>
                <w:szCs w:val="20"/>
                <w:lang w:val="en-US" w:eastAsia="zh-CN"/>
              </w:rPr>
            </w:pPr>
            <w:r>
              <w:rPr>
                <w:rFonts w:hint="eastAsia" w:ascii="仿宋" w:hAnsi="仿宋" w:eastAsia="仿宋" w:cs="仿宋"/>
                <w:b w:val="0"/>
                <w:bCs w:val="0"/>
                <w:color w:val="auto"/>
                <w:sz w:val="18"/>
                <w:szCs w:val="18"/>
                <w:highlight w:val="none"/>
                <w:shd w:val="clear" w:color="auto" w:fill="auto"/>
                <w:lang w:val="en-US" w:eastAsia="zh-CN"/>
              </w:rPr>
              <w:t>0.53</w:t>
            </w:r>
          </w:p>
        </w:tc>
        <w:tc>
          <w:tcPr>
            <w:tcW w:w="1656" w:type="dxa"/>
            <w:vAlign w:val="center"/>
          </w:tcPr>
          <w:p w14:paraId="51F47E19">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shd w:val="clear" w:color="auto" w:fill="auto"/>
                <w:lang w:val="en-US" w:eastAsia="zh-CN"/>
              </w:rPr>
            </w:pPr>
            <w:r>
              <w:rPr>
                <w:rFonts w:hint="default" w:ascii="仿宋" w:hAnsi="仿宋" w:eastAsia="仿宋" w:cs="仿宋"/>
                <w:b w:val="0"/>
                <w:bCs w:val="0"/>
                <w:color w:val="auto"/>
                <w:sz w:val="18"/>
                <w:szCs w:val="18"/>
                <w:highlight w:val="none"/>
                <w:shd w:val="clear" w:color="auto" w:fill="auto"/>
                <w:lang w:val="en-US" w:eastAsia="zh-CN"/>
              </w:rPr>
              <w:t>个</w:t>
            </w:r>
          </w:p>
        </w:tc>
        <w:tc>
          <w:tcPr>
            <w:tcW w:w="971" w:type="pct"/>
            <w:vAlign w:val="center"/>
          </w:tcPr>
          <w:p w14:paraId="262B2819">
            <w:pPr>
              <w:spacing w:line="400" w:lineRule="exact"/>
              <w:jc w:val="center"/>
              <w:rPr>
                <w:rFonts w:hint="eastAsia" w:ascii="仿宋" w:hAnsi="仿宋" w:eastAsia="仿宋" w:cs="仿宋"/>
                <w:sz w:val="20"/>
                <w:szCs w:val="20"/>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r w14:paraId="4115E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jc w:val="center"/>
        </w:trPr>
        <w:tc>
          <w:tcPr>
            <w:tcW w:w="273" w:type="pct"/>
            <w:vMerge w:val="continue"/>
            <w:vAlign w:val="center"/>
          </w:tcPr>
          <w:p w14:paraId="619867AE">
            <w:pPr>
              <w:pStyle w:val="5"/>
              <w:jc w:val="center"/>
              <w:rPr>
                <w:rFonts w:hint="eastAsia" w:ascii="仿宋" w:hAnsi="仿宋" w:eastAsia="仿宋" w:cs="仿宋"/>
                <w:sz w:val="21"/>
                <w:szCs w:val="21"/>
                <w:lang w:val="en-US" w:eastAsia="zh-CN"/>
              </w:rPr>
            </w:pPr>
          </w:p>
        </w:tc>
        <w:tc>
          <w:tcPr>
            <w:tcW w:w="370" w:type="pct"/>
            <w:vAlign w:val="center"/>
          </w:tcPr>
          <w:p w14:paraId="7E14FA6F">
            <w:pPr>
              <w:pStyle w:val="5"/>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1440" w:type="pct"/>
            <w:vAlign w:val="center"/>
          </w:tcPr>
          <w:p w14:paraId="1B066303">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仿宋"/>
                <w:b w:val="0"/>
                <w:bCs w:val="0"/>
                <w:color w:val="auto"/>
                <w:sz w:val="18"/>
                <w:szCs w:val="18"/>
                <w:highlight w:val="none"/>
                <w:shd w:val="clear" w:color="auto" w:fill="auto"/>
                <w:lang w:val="en-US" w:eastAsia="zh-CN"/>
              </w:rPr>
              <w:t>血清分离管</w:t>
            </w:r>
          </w:p>
        </w:tc>
        <w:tc>
          <w:tcPr>
            <w:tcW w:w="1656" w:type="dxa"/>
            <w:vAlign w:val="center"/>
          </w:tcPr>
          <w:p w14:paraId="429E4F3F">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b w:val="0"/>
                <w:bCs w:val="0"/>
                <w:color w:val="auto"/>
                <w:sz w:val="18"/>
                <w:szCs w:val="18"/>
                <w:highlight w:val="none"/>
                <w:shd w:val="clear" w:color="auto" w:fill="auto"/>
                <w:lang w:val="en-US" w:eastAsia="zh-CN"/>
              </w:rPr>
              <w:t>0.53</w:t>
            </w:r>
          </w:p>
        </w:tc>
        <w:tc>
          <w:tcPr>
            <w:tcW w:w="1656" w:type="dxa"/>
            <w:vAlign w:val="center"/>
          </w:tcPr>
          <w:p w14:paraId="07AF5014">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shd w:val="clear" w:color="auto" w:fill="auto"/>
                <w:lang w:val="en-US" w:eastAsia="zh-CN"/>
              </w:rPr>
            </w:pPr>
            <w:r>
              <w:rPr>
                <w:rFonts w:hint="default" w:ascii="仿宋" w:hAnsi="仿宋" w:eastAsia="仿宋" w:cs="仿宋"/>
                <w:b w:val="0"/>
                <w:bCs w:val="0"/>
                <w:color w:val="auto"/>
                <w:sz w:val="18"/>
                <w:szCs w:val="18"/>
                <w:highlight w:val="none"/>
                <w:shd w:val="clear" w:color="auto" w:fill="auto"/>
                <w:lang w:val="en-US" w:eastAsia="zh-CN"/>
              </w:rPr>
              <w:t>个</w:t>
            </w:r>
          </w:p>
        </w:tc>
        <w:tc>
          <w:tcPr>
            <w:tcW w:w="971" w:type="pct"/>
            <w:vAlign w:val="center"/>
          </w:tcPr>
          <w:p w14:paraId="58E3FCAC">
            <w:pPr>
              <w:spacing w:line="400" w:lineRule="exact"/>
              <w:jc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r w14:paraId="29549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jc w:val="center"/>
        </w:trPr>
        <w:tc>
          <w:tcPr>
            <w:tcW w:w="273" w:type="pct"/>
            <w:vMerge w:val="continue"/>
            <w:vAlign w:val="center"/>
          </w:tcPr>
          <w:p w14:paraId="0ED658F4">
            <w:pPr>
              <w:pStyle w:val="5"/>
              <w:jc w:val="center"/>
              <w:rPr>
                <w:rFonts w:hint="eastAsia" w:ascii="仿宋" w:hAnsi="仿宋" w:eastAsia="仿宋" w:cs="仿宋"/>
                <w:sz w:val="21"/>
                <w:szCs w:val="21"/>
                <w:lang w:val="en-US" w:eastAsia="zh-CN"/>
              </w:rPr>
            </w:pPr>
          </w:p>
        </w:tc>
        <w:tc>
          <w:tcPr>
            <w:tcW w:w="370" w:type="pct"/>
            <w:vAlign w:val="center"/>
          </w:tcPr>
          <w:p w14:paraId="125A94FF">
            <w:pPr>
              <w:pStyle w:val="5"/>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1440" w:type="pct"/>
            <w:vAlign w:val="center"/>
          </w:tcPr>
          <w:p w14:paraId="55BCBA1E">
            <w:pPr>
              <w:keepNext w:val="0"/>
              <w:keepLines w:val="0"/>
              <w:widowControl/>
              <w:suppressLineNumbers w:val="0"/>
              <w:jc w:val="center"/>
              <w:textAlignment w:val="center"/>
              <w:rPr>
                <w:rFonts w:hint="default" w:ascii="仿宋" w:hAnsi="仿宋" w:eastAsia="仿宋" w:cs="仿宋"/>
                <w:lang w:val="en-US" w:eastAsia="zh-CN"/>
              </w:rPr>
            </w:pPr>
            <w:r>
              <w:rPr>
                <w:rFonts w:hint="eastAsia" w:ascii="仿宋" w:hAnsi="仿宋" w:eastAsia="仿宋" w:cs="仿宋"/>
                <w:b w:val="0"/>
                <w:bCs w:val="0"/>
                <w:color w:val="auto"/>
                <w:sz w:val="18"/>
                <w:szCs w:val="18"/>
                <w:highlight w:val="none"/>
                <w:shd w:val="clear" w:color="auto" w:fill="auto"/>
                <w:lang w:val="en-US" w:eastAsia="zh-CN"/>
              </w:rPr>
              <w:t>血常规管</w:t>
            </w:r>
          </w:p>
        </w:tc>
        <w:tc>
          <w:tcPr>
            <w:tcW w:w="1656" w:type="dxa"/>
            <w:vAlign w:val="center"/>
          </w:tcPr>
          <w:p w14:paraId="46A3A859">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b w:val="0"/>
                <w:bCs w:val="0"/>
                <w:color w:val="auto"/>
                <w:sz w:val="18"/>
                <w:szCs w:val="18"/>
                <w:highlight w:val="none"/>
                <w:shd w:val="clear" w:color="auto" w:fill="auto"/>
                <w:lang w:val="en-US" w:eastAsia="zh-CN"/>
              </w:rPr>
              <w:t>0.53</w:t>
            </w:r>
          </w:p>
        </w:tc>
        <w:tc>
          <w:tcPr>
            <w:tcW w:w="1656" w:type="dxa"/>
            <w:vAlign w:val="center"/>
          </w:tcPr>
          <w:p w14:paraId="3BF4C464">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shd w:val="clear" w:color="auto" w:fill="auto"/>
                <w:lang w:val="en-US" w:eastAsia="zh-CN"/>
              </w:rPr>
            </w:pPr>
            <w:r>
              <w:rPr>
                <w:rFonts w:hint="default" w:ascii="仿宋" w:hAnsi="仿宋" w:eastAsia="仿宋" w:cs="仿宋"/>
                <w:b w:val="0"/>
                <w:bCs w:val="0"/>
                <w:color w:val="auto"/>
                <w:sz w:val="18"/>
                <w:szCs w:val="18"/>
                <w:highlight w:val="none"/>
                <w:shd w:val="clear" w:color="auto" w:fill="auto"/>
                <w:lang w:val="en-US" w:eastAsia="zh-CN"/>
              </w:rPr>
              <w:t>个</w:t>
            </w:r>
          </w:p>
        </w:tc>
        <w:tc>
          <w:tcPr>
            <w:tcW w:w="971" w:type="pct"/>
            <w:vAlign w:val="center"/>
          </w:tcPr>
          <w:p w14:paraId="1DA1BEBC">
            <w:pPr>
              <w:spacing w:line="400" w:lineRule="exact"/>
              <w:jc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r w14:paraId="19684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jc w:val="center"/>
        </w:trPr>
        <w:tc>
          <w:tcPr>
            <w:tcW w:w="273" w:type="pct"/>
            <w:vMerge w:val="continue"/>
            <w:vAlign w:val="center"/>
          </w:tcPr>
          <w:p w14:paraId="140F8FB0">
            <w:pPr>
              <w:pStyle w:val="5"/>
              <w:jc w:val="center"/>
              <w:rPr>
                <w:rFonts w:hint="eastAsia" w:ascii="仿宋" w:hAnsi="仿宋" w:eastAsia="仿宋" w:cs="仿宋"/>
                <w:sz w:val="21"/>
                <w:szCs w:val="21"/>
                <w:lang w:val="en-US" w:eastAsia="zh-CN"/>
              </w:rPr>
            </w:pPr>
          </w:p>
        </w:tc>
        <w:tc>
          <w:tcPr>
            <w:tcW w:w="370" w:type="pct"/>
            <w:vAlign w:val="center"/>
          </w:tcPr>
          <w:p w14:paraId="61B3C39E">
            <w:pPr>
              <w:pStyle w:val="5"/>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1440" w:type="pct"/>
            <w:vAlign w:val="center"/>
          </w:tcPr>
          <w:p w14:paraId="7DC65100">
            <w:pPr>
              <w:keepNext w:val="0"/>
              <w:keepLines w:val="0"/>
              <w:widowControl/>
              <w:suppressLineNumbers w:val="0"/>
              <w:jc w:val="center"/>
              <w:textAlignment w:val="center"/>
              <w:rPr>
                <w:rFonts w:hint="default" w:ascii="仿宋" w:hAnsi="仿宋" w:eastAsia="仿宋" w:cs="仿宋"/>
                <w:lang w:val="en-US" w:eastAsia="zh-CN"/>
              </w:rPr>
            </w:pPr>
            <w:r>
              <w:rPr>
                <w:rFonts w:hint="eastAsia" w:ascii="仿宋" w:hAnsi="仿宋" w:eastAsia="仿宋" w:cs="仿宋"/>
                <w:b w:val="0"/>
                <w:bCs w:val="0"/>
                <w:color w:val="auto"/>
                <w:sz w:val="18"/>
                <w:szCs w:val="18"/>
                <w:highlight w:val="none"/>
                <w:shd w:val="clear" w:color="auto" w:fill="auto"/>
                <w:lang w:val="en-US" w:eastAsia="zh-CN"/>
              </w:rPr>
              <w:t>凝血功能检测管</w:t>
            </w:r>
          </w:p>
        </w:tc>
        <w:tc>
          <w:tcPr>
            <w:tcW w:w="1656" w:type="dxa"/>
            <w:vAlign w:val="center"/>
          </w:tcPr>
          <w:p w14:paraId="4C8673AF">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b w:val="0"/>
                <w:bCs w:val="0"/>
                <w:color w:val="auto"/>
                <w:sz w:val="18"/>
                <w:szCs w:val="18"/>
                <w:highlight w:val="none"/>
                <w:shd w:val="clear" w:color="auto" w:fill="auto"/>
                <w:lang w:val="en-US" w:eastAsia="zh-CN"/>
              </w:rPr>
              <w:t>0.53</w:t>
            </w:r>
          </w:p>
        </w:tc>
        <w:tc>
          <w:tcPr>
            <w:tcW w:w="1656" w:type="dxa"/>
            <w:vAlign w:val="center"/>
          </w:tcPr>
          <w:p w14:paraId="2B692ADF">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shd w:val="clear" w:color="auto" w:fill="auto"/>
                <w:lang w:val="en-US" w:eastAsia="zh-CN"/>
              </w:rPr>
            </w:pPr>
            <w:r>
              <w:rPr>
                <w:rFonts w:hint="default" w:ascii="仿宋" w:hAnsi="仿宋" w:eastAsia="仿宋" w:cs="仿宋"/>
                <w:b w:val="0"/>
                <w:bCs w:val="0"/>
                <w:color w:val="auto"/>
                <w:sz w:val="18"/>
                <w:szCs w:val="18"/>
                <w:highlight w:val="none"/>
                <w:shd w:val="clear" w:color="auto" w:fill="auto"/>
                <w:lang w:val="en-US" w:eastAsia="zh-CN"/>
              </w:rPr>
              <w:t>个</w:t>
            </w:r>
          </w:p>
        </w:tc>
        <w:tc>
          <w:tcPr>
            <w:tcW w:w="971" w:type="pct"/>
            <w:vAlign w:val="center"/>
          </w:tcPr>
          <w:p w14:paraId="08BD27E8">
            <w:pPr>
              <w:spacing w:line="400" w:lineRule="exact"/>
              <w:jc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r w14:paraId="44A99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jc w:val="center"/>
        </w:trPr>
        <w:tc>
          <w:tcPr>
            <w:tcW w:w="273" w:type="pct"/>
            <w:vMerge w:val="continue"/>
            <w:vAlign w:val="center"/>
          </w:tcPr>
          <w:p w14:paraId="4E15AE4D">
            <w:pPr>
              <w:pStyle w:val="5"/>
              <w:jc w:val="center"/>
              <w:rPr>
                <w:rFonts w:hint="eastAsia" w:ascii="仿宋" w:hAnsi="仿宋" w:eastAsia="仿宋" w:cs="仿宋"/>
                <w:sz w:val="21"/>
                <w:szCs w:val="21"/>
                <w:lang w:val="en-US" w:eastAsia="zh-CN"/>
              </w:rPr>
            </w:pPr>
          </w:p>
        </w:tc>
        <w:tc>
          <w:tcPr>
            <w:tcW w:w="370" w:type="pct"/>
            <w:vAlign w:val="center"/>
          </w:tcPr>
          <w:p w14:paraId="3F1E165A">
            <w:pPr>
              <w:pStyle w:val="5"/>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1440" w:type="pct"/>
            <w:vAlign w:val="center"/>
          </w:tcPr>
          <w:p w14:paraId="6B5142D7">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血沉管</w:t>
            </w:r>
          </w:p>
        </w:tc>
        <w:tc>
          <w:tcPr>
            <w:tcW w:w="1656" w:type="dxa"/>
            <w:vAlign w:val="center"/>
          </w:tcPr>
          <w:p w14:paraId="5B9F4866">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0.53</w:t>
            </w:r>
          </w:p>
        </w:tc>
        <w:tc>
          <w:tcPr>
            <w:tcW w:w="1656" w:type="dxa"/>
            <w:vAlign w:val="center"/>
          </w:tcPr>
          <w:p w14:paraId="1243A0B5">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shd w:val="clear" w:color="auto" w:fill="auto"/>
                <w:lang w:val="en-US" w:eastAsia="zh-CN"/>
              </w:rPr>
            </w:pPr>
            <w:r>
              <w:rPr>
                <w:rFonts w:hint="default" w:ascii="仿宋" w:hAnsi="仿宋" w:eastAsia="仿宋" w:cs="仿宋"/>
                <w:b w:val="0"/>
                <w:bCs w:val="0"/>
                <w:color w:val="auto"/>
                <w:sz w:val="18"/>
                <w:szCs w:val="18"/>
                <w:highlight w:val="none"/>
                <w:shd w:val="clear" w:color="auto" w:fill="auto"/>
                <w:lang w:val="en-US" w:eastAsia="zh-CN"/>
              </w:rPr>
              <w:t>个</w:t>
            </w:r>
          </w:p>
        </w:tc>
        <w:tc>
          <w:tcPr>
            <w:tcW w:w="1656" w:type="dxa"/>
            <w:vAlign w:val="center"/>
          </w:tcPr>
          <w:p w14:paraId="32A61AE9">
            <w:pPr>
              <w:spacing w:line="400" w:lineRule="exact"/>
              <w:jc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r w14:paraId="4BDE8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jc w:val="center"/>
        </w:trPr>
        <w:tc>
          <w:tcPr>
            <w:tcW w:w="273" w:type="pct"/>
            <w:vMerge w:val="continue"/>
            <w:vAlign w:val="center"/>
          </w:tcPr>
          <w:p w14:paraId="684012D7">
            <w:pPr>
              <w:pStyle w:val="5"/>
              <w:jc w:val="center"/>
              <w:rPr>
                <w:rFonts w:hint="eastAsia" w:ascii="仿宋" w:hAnsi="仿宋" w:eastAsia="仿宋" w:cs="仿宋"/>
                <w:sz w:val="21"/>
                <w:szCs w:val="21"/>
                <w:lang w:val="en-US" w:eastAsia="zh-CN"/>
              </w:rPr>
            </w:pPr>
          </w:p>
        </w:tc>
        <w:tc>
          <w:tcPr>
            <w:tcW w:w="370" w:type="pct"/>
            <w:vAlign w:val="center"/>
          </w:tcPr>
          <w:p w14:paraId="1FF27D10">
            <w:pPr>
              <w:pStyle w:val="5"/>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1440" w:type="pct"/>
            <w:vAlign w:val="center"/>
          </w:tcPr>
          <w:p w14:paraId="6AABA634">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急诊生化管</w:t>
            </w:r>
          </w:p>
        </w:tc>
        <w:tc>
          <w:tcPr>
            <w:tcW w:w="1656" w:type="dxa"/>
            <w:vAlign w:val="center"/>
          </w:tcPr>
          <w:p w14:paraId="3E7B4BF5">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0.56</w:t>
            </w:r>
          </w:p>
        </w:tc>
        <w:tc>
          <w:tcPr>
            <w:tcW w:w="1656" w:type="dxa"/>
            <w:vAlign w:val="center"/>
          </w:tcPr>
          <w:p w14:paraId="5D523B72">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shd w:val="clear" w:color="auto" w:fill="auto"/>
                <w:lang w:val="en-US" w:eastAsia="zh-CN"/>
              </w:rPr>
            </w:pPr>
            <w:r>
              <w:rPr>
                <w:rFonts w:hint="default" w:ascii="仿宋" w:hAnsi="仿宋" w:eastAsia="仿宋" w:cs="仿宋"/>
                <w:b w:val="0"/>
                <w:bCs w:val="0"/>
                <w:color w:val="auto"/>
                <w:sz w:val="18"/>
                <w:szCs w:val="18"/>
                <w:highlight w:val="none"/>
                <w:shd w:val="clear" w:color="auto" w:fill="auto"/>
                <w:lang w:val="en-US" w:eastAsia="zh-CN"/>
              </w:rPr>
              <w:t>个</w:t>
            </w:r>
          </w:p>
        </w:tc>
        <w:tc>
          <w:tcPr>
            <w:tcW w:w="1656" w:type="dxa"/>
            <w:vAlign w:val="center"/>
          </w:tcPr>
          <w:p w14:paraId="1B986FF4">
            <w:pPr>
              <w:spacing w:line="400" w:lineRule="exact"/>
              <w:jc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r w14:paraId="19B7A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jc w:val="center"/>
        </w:trPr>
        <w:tc>
          <w:tcPr>
            <w:tcW w:w="273" w:type="pct"/>
            <w:vMerge w:val="continue"/>
            <w:vAlign w:val="center"/>
          </w:tcPr>
          <w:p w14:paraId="69E24248">
            <w:pPr>
              <w:pStyle w:val="5"/>
              <w:jc w:val="center"/>
              <w:rPr>
                <w:rFonts w:hint="eastAsia" w:ascii="仿宋" w:hAnsi="仿宋" w:eastAsia="仿宋" w:cs="仿宋"/>
                <w:sz w:val="21"/>
                <w:szCs w:val="21"/>
                <w:lang w:val="en-US" w:eastAsia="zh-CN"/>
              </w:rPr>
            </w:pPr>
          </w:p>
        </w:tc>
        <w:tc>
          <w:tcPr>
            <w:tcW w:w="370" w:type="pct"/>
            <w:vAlign w:val="center"/>
          </w:tcPr>
          <w:p w14:paraId="2D42D8C7">
            <w:pPr>
              <w:pStyle w:val="5"/>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7</w:t>
            </w:r>
          </w:p>
        </w:tc>
        <w:tc>
          <w:tcPr>
            <w:tcW w:w="1440" w:type="pct"/>
            <w:vAlign w:val="center"/>
          </w:tcPr>
          <w:p w14:paraId="27DC1F22">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急诊生化管</w:t>
            </w:r>
          </w:p>
        </w:tc>
        <w:tc>
          <w:tcPr>
            <w:tcW w:w="1656" w:type="dxa"/>
            <w:vAlign w:val="center"/>
          </w:tcPr>
          <w:p w14:paraId="3B960647">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0.54</w:t>
            </w:r>
          </w:p>
        </w:tc>
        <w:tc>
          <w:tcPr>
            <w:tcW w:w="1656" w:type="dxa"/>
            <w:vAlign w:val="center"/>
          </w:tcPr>
          <w:p w14:paraId="400497DC">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shd w:val="clear" w:color="auto" w:fill="auto"/>
                <w:lang w:val="en-US" w:eastAsia="zh-CN"/>
              </w:rPr>
            </w:pPr>
            <w:r>
              <w:rPr>
                <w:rFonts w:hint="default" w:ascii="仿宋" w:hAnsi="仿宋" w:eastAsia="仿宋" w:cs="仿宋"/>
                <w:b w:val="0"/>
                <w:bCs w:val="0"/>
                <w:color w:val="auto"/>
                <w:sz w:val="18"/>
                <w:szCs w:val="18"/>
                <w:highlight w:val="none"/>
                <w:shd w:val="clear" w:color="auto" w:fill="auto"/>
                <w:lang w:val="en-US" w:eastAsia="zh-CN"/>
              </w:rPr>
              <w:t>个</w:t>
            </w:r>
          </w:p>
        </w:tc>
        <w:tc>
          <w:tcPr>
            <w:tcW w:w="1656" w:type="dxa"/>
            <w:vAlign w:val="center"/>
          </w:tcPr>
          <w:p w14:paraId="0B22EF23">
            <w:pPr>
              <w:spacing w:line="400" w:lineRule="exact"/>
              <w:jc w:val="center"/>
              <w:rPr>
                <w:rFonts w:hint="eastAsia" w:ascii="仿宋" w:hAnsi="仿宋" w:eastAsia="仿宋" w:cs="仿宋"/>
                <w:b w:val="0"/>
                <w:bCs w:val="0"/>
                <w:color w:val="auto"/>
                <w:sz w:val="20"/>
                <w:szCs w:val="20"/>
                <w:highlight w:val="none"/>
                <w:shd w:val="clear" w:color="auto" w:fill="auto"/>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bl>
    <w:p w14:paraId="63FBECC4">
      <w:pPr>
        <w:pStyle w:val="5"/>
        <w:jc w:val="left"/>
        <w:rPr>
          <w:rFonts w:hint="eastAsia" w:ascii="仿宋" w:hAnsi="仿宋" w:eastAsia="仿宋" w:cs="仿宋"/>
        </w:rPr>
      </w:pPr>
    </w:p>
    <w:p w14:paraId="4024ECA5">
      <w:pPr>
        <w:pStyle w:val="5"/>
        <w:jc w:val="left"/>
        <w:outlineLvl w:val="2"/>
        <w:rPr>
          <w:rFonts w:hint="eastAsia" w:ascii="仿宋" w:hAnsi="仿宋" w:eastAsia="仿宋" w:cs="仿宋"/>
          <w:b/>
          <w:bCs/>
          <w:i w:val="0"/>
          <w:iCs w:val="0"/>
          <w:sz w:val="24"/>
          <w:szCs w:val="24"/>
        </w:rPr>
      </w:pPr>
      <w:r>
        <w:rPr>
          <w:rFonts w:hint="eastAsia" w:ascii="仿宋" w:hAnsi="仿宋" w:eastAsia="仿宋" w:cs="仿宋"/>
          <w:b/>
          <w:bCs/>
          <w:i w:val="0"/>
          <w:iCs w:val="0"/>
          <w:sz w:val="24"/>
          <w:szCs w:val="24"/>
        </w:rPr>
        <w:t>采购包</w:t>
      </w:r>
      <w:r>
        <w:rPr>
          <w:rFonts w:hint="eastAsia" w:ascii="仿宋" w:hAnsi="仿宋" w:eastAsia="仿宋" w:cs="仿宋"/>
          <w:b/>
          <w:bCs/>
          <w:i w:val="0"/>
          <w:iCs w:val="0"/>
          <w:sz w:val="24"/>
          <w:szCs w:val="24"/>
          <w:lang w:val="en-US" w:eastAsia="zh-CN"/>
        </w:rPr>
        <w:t>2</w:t>
      </w:r>
      <w:r>
        <w:rPr>
          <w:rFonts w:hint="eastAsia" w:ascii="仿宋" w:hAnsi="仿宋" w:eastAsia="仿宋" w:cs="仿宋"/>
          <w:b/>
          <w:bCs/>
          <w:i w:val="0"/>
          <w:iCs w:val="0"/>
          <w:sz w:val="24"/>
          <w:szCs w:val="24"/>
        </w:rPr>
        <w:t>：</w:t>
      </w:r>
    </w:p>
    <w:p w14:paraId="10D27B81">
      <w:pPr>
        <w:pStyle w:val="5"/>
        <w:ind w:firstLine="480"/>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本项目提供的产品，必须为“四川省药品和医用耗材招采管理系统”中已挂网产品（不含正在挂网和备案的产品）。</w:t>
      </w:r>
    </w:p>
    <w:tbl>
      <w:tblPr>
        <w:tblStyle w:val="2"/>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4"/>
        <w:gridCol w:w="631"/>
        <w:gridCol w:w="2456"/>
        <w:gridCol w:w="1656"/>
        <w:gridCol w:w="1656"/>
        <w:gridCol w:w="1656"/>
      </w:tblGrid>
      <w:tr w14:paraId="0E88D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3" w:hRule="atLeast"/>
          <w:jc w:val="center"/>
        </w:trPr>
        <w:tc>
          <w:tcPr>
            <w:tcW w:w="272" w:type="pct"/>
            <w:vAlign w:val="center"/>
          </w:tcPr>
          <w:p w14:paraId="15E4526D">
            <w:pPr>
              <w:pStyle w:val="5"/>
              <w:jc w:val="center"/>
              <w:rPr>
                <w:rFonts w:hint="eastAsia" w:ascii="仿宋" w:hAnsi="仿宋" w:eastAsia="仿宋" w:cs="仿宋"/>
                <w:lang w:val="en-US" w:eastAsia="zh-CN"/>
              </w:rPr>
            </w:pPr>
            <w:r>
              <w:rPr>
                <w:rFonts w:hint="eastAsia" w:ascii="仿宋" w:hAnsi="仿宋" w:eastAsia="仿宋" w:cs="仿宋"/>
                <w:lang w:val="en-US" w:eastAsia="zh-CN"/>
              </w:rPr>
              <w:t>包号</w:t>
            </w:r>
          </w:p>
        </w:tc>
        <w:tc>
          <w:tcPr>
            <w:tcW w:w="370" w:type="pct"/>
            <w:vAlign w:val="center"/>
          </w:tcPr>
          <w:p w14:paraId="5D0CFA31">
            <w:pPr>
              <w:pStyle w:val="5"/>
              <w:jc w:val="center"/>
              <w:rPr>
                <w:rFonts w:hint="eastAsia" w:ascii="仿宋" w:hAnsi="仿宋" w:eastAsia="仿宋" w:cs="仿宋"/>
                <w:lang w:val="en-US" w:eastAsia="zh-CN"/>
              </w:rPr>
            </w:pPr>
            <w:r>
              <w:rPr>
                <w:rFonts w:hint="eastAsia" w:ascii="仿宋" w:hAnsi="仿宋" w:eastAsia="仿宋" w:cs="仿宋"/>
                <w:lang w:val="en-US" w:eastAsia="zh-CN"/>
              </w:rPr>
              <w:t>编号</w:t>
            </w:r>
          </w:p>
        </w:tc>
        <w:tc>
          <w:tcPr>
            <w:tcW w:w="1440" w:type="pct"/>
            <w:vAlign w:val="center"/>
          </w:tcPr>
          <w:p w14:paraId="0D52DE83">
            <w:pPr>
              <w:pStyle w:val="5"/>
              <w:jc w:val="center"/>
              <w:rPr>
                <w:rFonts w:hint="eastAsia" w:ascii="仿宋" w:hAnsi="仿宋" w:eastAsia="仿宋" w:cs="仿宋"/>
                <w:lang w:val="en-US" w:eastAsia="zh-CN"/>
              </w:rPr>
            </w:pPr>
            <w:r>
              <w:rPr>
                <w:rFonts w:hint="eastAsia" w:ascii="仿宋" w:hAnsi="仿宋" w:eastAsia="仿宋" w:cs="仿宋"/>
                <w:lang w:val="en-US" w:eastAsia="zh-CN"/>
              </w:rPr>
              <w:t>标的名称</w:t>
            </w:r>
          </w:p>
        </w:tc>
        <w:tc>
          <w:tcPr>
            <w:tcW w:w="971" w:type="pct"/>
            <w:vAlign w:val="center"/>
          </w:tcPr>
          <w:p w14:paraId="73F00A4B">
            <w:pPr>
              <w:pStyle w:val="5"/>
              <w:jc w:val="center"/>
              <w:rPr>
                <w:rFonts w:hint="eastAsia" w:ascii="仿宋" w:hAnsi="仿宋" w:eastAsia="仿宋" w:cs="仿宋"/>
                <w:lang w:val="en-US" w:eastAsia="zh-CN"/>
              </w:rPr>
            </w:pPr>
            <w:r>
              <w:rPr>
                <w:rFonts w:hint="eastAsia" w:ascii="仿宋" w:hAnsi="仿宋" w:eastAsia="仿宋" w:cs="仿宋"/>
                <w:lang w:val="en-US" w:eastAsia="zh-CN"/>
              </w:rPr>
              <w:t>★最高单价限价（元）</w:t>
            </w:r>
          </w:p>
        </w:tc>
        <w:tc>
          <w:tcPr>
            <w:tcW w:w="971" w:type="pct"/>
            <w:vAlign w:val="center"/>
          </w:tcPr>
          <w:p w14:paraId="5B7538E1">
            <w:pPr>
              <w:pStyle w:val="5"/>
              <w:jc w:val="center"/>
              <w:rPr>
                <w:rFonts w:hint="eastAsia" w:ascii="仿宋" w:hAnsi="仿宋" w:eastAsia="仿宋" w:cs="仿宋"/>
                <w:lang w:val="en-US" w:eastAsia="zh-CN"/>
              </w:rPr>
            </w:pPr>
            <w:r>
              <w:rPr>
                <w:rFonts w:hint="eastAsia" w:ascii="仿宋" w:hAnsi="仿宋" w:eastAsia="仿宋" w:cs="仿宋"/>
                <w:lang w:val="en-US" w:eastAsia="zh-CN"/>
              </w:rPr>
              <w:t>★计量单位</w:t>
            </w:r>
          </w:p>
        </w:tc>
        <w:tc>
          <w:tcPr>
            <w:tcW w:w="971" w:type="pct"/>
            <w:vAlign w:val="center"/>
          </w:tcPr>
          <w:p w14:paraId="0FF44202">
            <w:pPr>
              <w:pStyle w:val="5"/>
              <w:jc w:val="center"/>
              <w:rPr>
                <w:rFonts w:hint="eastAsia" w:ascii="仿宋" w:hAnsi="仿宋" w:eastAsia="仿宋" w:cs="仿宋"/>
                <w:lang w:val="en-US" w:eastAsia="zh-CN"/>
              </w:rPr>
            </w:pPr>
            <w:r>
              <w:rPr>
                <w:rFonts w:hint="eastAsia" w:ascii="仿宋" w:hAnsi="仿宋" w:eastAsia="仿宋" w:cs="仿宋"/>
                <w:lang w:val="en-US" w:eastAsia="zh-CN"/>
              </w:rPr>
              <w:t>预算金额/最高限价（每年）（元）</w:t>
            </w:r>
          </w:p>
        </w:tc>
      </w:tr>
      <w:tr w14:paraId="755C4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3" w:hRule="atLeast"/>
          <w:jc w:val="center"/>
        </w:trPr>
        <w:tc>
          <w:tcPr>
            <w:tcW w:w="272" w:type="pct"/>
            <w:vAlign w:val="center"/>
          </w:tcPr>
          <w:p w14:paraId="32F43FBA">
            <w:pPr>
              <w:pStyle w:val="5"/>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370" w:type="pct"/>
            <w:vAlign w:val="center"/>
          </w:tcPr>
          <w:p w14:paraId="69D6C6E6">
            <w:pPr>
              <w:pStyle w:val="5"/>
              <w:jc w:val="center"/>
              <w:rPr>
                <w:rFonts w:hint="default" w:ascii="仿宋" w:hAnsi="仿宋" w:eastAsia="仿宋" w:cs="仿宋"/>
                <w:lang w:val="en-US" w:eastAsia="zh-CN"/>
              </w:rPr>
            </w:pPr>
            <w:r>
              <w:rPr>
                <w:rFonts w:hint="eastAsia" w:ascii="仿宋" w:hAnsi="仿宋" w:eastAsia="仿宋" w:cs="仿宋"/>
                <w:lang w:val="en-US" w:eastAsia="zh-CN"/>
              </w:rPr>
              <w:t>1</w:t>
            </w:r>
          </w:p>
        </w:tc>
        <w:tc>
          <w:tcPr>
            <w:tcW w:w="1440" w:type="pct"/>
            <w:vAlign w:val="center"/>
          </w:tcPr>
          <w:p w14:paraId="533FD551">
            <w:pPr>
              <w:pStyle w:val="5"/>
              <w:jc w:val="center"/>
              <w:rPr>
                <w:rFonts w:hint="eastAsia" w:ascii="仿宋" w:hAnsi="仿宋" w:eastAsia="仿宋" w:cs="仿宋"/>
                <w:lang w:val="en-US" w:eastAsia="zh-CN"/>
              </w:rPr>
            </w:pPr>
            <w:r>
              <w:rPr>
                <w:rFonts w:hint="eastAsia" w:ascii="仿宋" w:hAnsi="仿宋" w:eastAsia="仿宋" w:cs="仿宋"/>
                <w:b w:val="0"/>
                <w:bCs w:val="0"/>
                <w:color w:val="auto"/>
                <w:sz w:val="18"/>
                <w:szCs w:val="18"/>
                <w:highlight w:val="none"/>
                <w:shd w:val="clear" w:color="auto" w:fill="auto"/>
                <w:lang w:val="en-US" w:eastAsia="zh-CN"/>
              </w:rPr>
              <w:t>一次性使用静脉采血针</w:t>
            </w:r>
          </w:p>
        </w:tc>
        <w:tc>
          <w:tcPr>
            <w:tcW w:w="971" w:type="pct"/>
            <w:vAlign w:val="center"/>
          </w:tcPr>
          <w:p w14:paraId="06A9FD87">
            <w:pPr>
              <w:pStyle w:val="5"/>
              <w:jc w:val="center"/>
              <w:rPr>
                <w:rFonts w:hint="eastAsia" w:ascii="仿宋" w:hAnsi="仿宋" w:eastAsia="仿宋" w:cs="仿宋"/>
                <w:lang w:val="en-US" w:eastAsia="zh-CN"/>
              </w:rPr>
            </w:pPr>
            <w:r>
              <w:rPr>
                <w:rFonts w:hint="eastAsia" w:ascii="仿宋" w:hAnsi="仿宋" w:eastAsia="仿宋" w:cs="仿宋"/>
                <w:b w:val="0"/>
                <w:bCs w:val="0"/>
                <w:color w:val="auto"/>
                <w:sz w:val="18"/>
                <w:szCs w:val="18"/>
                <w:highlight w:val="none"/>
                <w:shd w:val="clear" w:color="auto" w:fill="auto"/>
                <w:lang w:val="en-US" w:eastAsia="zh-CN"/>
              </w:rPr>
              <w:t>0.18</w:t>
            </w:r>
          </w:p>
        </w:tc>
        <w:tc>
          <w:tcPr>
            <w:tcW w:w="971" w:type="pct"/>
            <w:vAlign w:val="center"/>
          </w:tcPr>
          <w:p w14:paraId="4893C331">
            <w:pPr>
              <w:pStyle w:val="5"/>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971" w:type="pct"/>
            <w:vAlign w:val="center"/>
          </w:tcPr>
          <w:p w14:paraId="32440CDD">
            <w:pPr>
              <w:pStyle w:val="5"/>
              <w:jc w:val="center"/>
              <w:rPr>
                <w:rFonts w:hint="eastAsia" w:ascii="仿宋" w:hAnsi="仿宋" w:eastAsia="仿宋" w:cs="仿宋"/>
                <w:lang w:val="en-US" w:eastAsia="zh-CN"/>
              </w:rPr>
            </w:pPr>
            <w:r>
              <w:rPr>
                <w:rFonts w:hint="eastAsia" w:ascii="仿宋" w:hAnsi="仿宋" w:eastAsia="仿宋" w:cs="仿宋"/>
                <w:b w:val="0"/>
                <w:bCs w:val="0"/>
                <w:color w:val="auto"/>
                <w:sz w:val="20"/>
                <w:szCs w:val="20"/>
                <w:highlight w:val="none"/>
                <w:shd w:val="clear" w:color="auto" w:fill="auto"/>
                <w:lang w:val="en-US" w:eastAsia="zh-CN"/>
              </w:rPr>
              <w:t>据实结算</w:t>
            </w:r>
          </w:p>
        </w:tc>
      </w:tr>
    </w:tbl>
    <w:p w14:paraId="63F8EEFA">
      <w:pPr>
        <w:pStyle w:val="5"/>
        <w:jc w:val="left"/>
        <w:outlineLvl w:val="9"/>
        <w:rPr>
          <w:rFonts w:hint="eastAsia" w:ascii="仿宋" w:hAnsi="仿宋" w:eastAsia="仿宋" w:cs="仿宋"/>
          <w:b/>
          <w:bCs/>
          <w:i w:val="0"/>
          <w:iCs w:val="0"/>
          <w:sz w:val="24"/>
          <w:szCs w:val="24"/>
        </w:rPr>
      </w:pPr>
    </w:p>
    <w:p w14:paraId="5415B736">
      <w:pPr>
        <w:pStyle w:val="5"/>
        <w:ind w:firstLine="480"/>
        <w:jc w:val="left"/>
        <w:rPr>
          <w:rFonts w:hint="eastAsia" w:ascii="仿宋" w:hAnsi="仿宋" w:eastAsia="仿宋" w:cs="仿宋"/>
        </w:rPr>
      </w:pPr>
      <w:r>
        <w:rPr>
          <w:rFonts w:hint="eastAsia" w:ascii="仿宋" w:hAnsi="仿宋" w:eastAsia="仿宋" w:cs="仿宋"/>
        </w:rPr>
        <w:t>★注：</w:t>
      </w:r>
      <w:r>
        <w:rPr>
          <w:rFonts w:hint="eastAsia" w:ascii="仿宋" w:hAnsi="仿宋" w:eastAsia="仿宋" w:cs="仿宋"/>
          <w:lang w:eastAsia="zh-CN"/>
        </w:rPr>
        <w:t>竞选人</w:t>
      </w:r>
      <w:r>
        <w:rPr>
          <w:rFonts w:hint="eastAsia" w:ascii="仿宋" w:hAnsi="仿宋" w:eastAsia="仿宋" w:cs="仿宋"/>
        </w:rPr>
        <w:t>响应产品应当明确品牌和规格型号并指向唯一产品，不能指向唯一产品的，应通过报价表唯一产品说明栏补充说明。</w:t>
      </w:r>
    </w:p>
    <w:p w14:paraId="3231D397">
      <w:pPr>
        <w:pStyle w:val="5"/>
        <w:jc w:val="left"/>
        <w:rPr>
          <w:rFonts w:hint="eastAsia" w:ascii="仿宋" w:hAnsi="仿宋" w:eastAsia="仿宋" w:cs="仿宋"/>
        </w:rPr>
      </w:pPr>
    </w:p>
    <w:p w14:paraId="098B893F">
      <w:pPr>
        <w:pStyle w:val="5"/>
        <w:jc w:val="left"/>
        <w:outlineLvl w:val="1"/>
        <w:rPr>
          <w:rFonts w:hint="eastAsia" w:ascii="仿宋" w:hAnsi="仿宋" w:eastAsia="仿宋" w:cs="仿宋"/>
          <w:lang w:eastAsia="zh-CN"/>
        </w:rPr>
      </w:pPr>
      <w:r>
        <w:rPr>
          <w:rFonts w:hint="eastAsia" w:ascii="仿宋" w:hAnsi="仿宋" w:eastAsia="仿宋" w:cs="仿宋"/>
          <w:b/>
          <w:sz w:val="28"/>
        </w:rPr>
        <w:t>3.2.技术要求</w:t>
      </w:r>
    </w:p>
    <w:p w14:paraId="198F8E6F">
      <w:pPr>
        <w:pStyle w:val="5"/>
        <w:jc w:val="left"/>
        <w:outlineLvl w:val="2"/>
        <w:rPr>
          <w:rFonts w:hint="eastAsia" w:ascii="仿宋" w:hAnsi="仿宋" w:eastAsia="仿宋" w:cs="仿宋"/>
          <w:b/>
          <w:bCs/>
          <w:sz w:val="22"/>
          <w:szCs w:val="22"/>
        </w:rPr>
      </w:pPr>
      <w:r>
        <w:rPr>
          <w:rFonts w:hint="eastAsia" w:ascii="仿宋" w:hAnsi="仿宋" w:eastAsia="仿宋" w:cs="仿宋"/>
          <w:b/>
          <w:bCs/>
          <w:sz w:val="22"/>
          <w:szCs w:val="22"/>
        </w:rPr>
        <w:t>采购包1：</w:t>
      </w:r>
    </w:p>
    <w:tbl>
      <w:tblPr>
        <w:tblStyle w:val="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2"/>
        <w:gridCol w:w="946"/>
        <w:gridCol w:w="1651"/>
        <w:gridCol w:w="1695"/>
        <w:gridCol w:w="1531"/>
        <w:gridCol w:w="1081"/>
        <w:gridCol w:w="1083"/>
      </w:tblGrid>
      <w:tr w14:paraId="1BF84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7" w:hRule="atLeast"/>
        </w:trPr>
        <w:tc>
          <w:tcPr>
            <w:tcW w:w="312" w:type="pct"/>
            <w:vAlign w:val="center"/>
          </w:tcPr>
          <w:p w14:paraId="28EBC841">
            <w:pPr>
              <w:pStyle w:val="5"/>
              <w:jc w:val="center"/>
              <w:rPr>
                <w:rFonts w:hint="eastAsia" w:ascii="仿宋" w:hAnsi="仿宋" w:eastAsia="仿宋" w:cs="仿宋"/>
              </w:rPr>
            </w:pPr>
            <w:r>
              <w:rPr>
                <w:rFonts w:hint="eastAsia" w:ascii="仿宋" w:hAnsi="仿宋" w:eastAsia="仿宋" w:cs="仿宋"/>
              </w:rPr>
              <w:t>序号</w:t>
            </w:r>
          </w:p>
        </w:tc>
        <w:tc>
          <w:tcPr>
            <w:tcW w:w="555" w:type="pct"/>
            <w:vAlign w:val="center"/>
          </w:tcPr>
          <w:p w14:paraId="43FF87F7">
            <w:pPr>
              <w:keepNext w:val="0"/>
              <w:keepLines w:val="0"/>
              <w:widowControl/>
              <w:suppressLineNumbers w:val="0"/>
              <w:jc w:val="center"/>
              <w:textAlignment w:val="center"/>
              <w:rPr>
                <w:rFonts w:hint="eastAsia" w:ascii="仿宋" w:hAnsi="仿宋" w:eastAsia="仿宋" w:cs="仿宋"/>
                <w:b w:val="0"/>
                <w:bCs w:val="0"/>
              </w:rPr>
            </w:pPr>
            <w:r>
              <w:rPr>
                <w:rFonts w:hint="eastAsia" w:ascii="楷体" w:hAnsi="楷体" w:eastAsia="楷体" w:cs="楷体"/>
                <w:b w:val="0"/>
                <w:bCs w:val="0"/>
                <w:color w:val="auto"/>
                <w:sz w:val="21"/>
                <w:szCs w:val="21"/>
                <w:highlight w:val="none"/>
                <w:shd w:val="clear" w:color="auto" w:fill="auto"/>
                <w:vertAlign w:val="baseline"/>
                <w:lang w:val="en-US" w:eastAsia="zh-CN"/>
              </w:rPr>
              <w:t>标的名称</w:t>
            </w:r>
          </w:p>
        </w:tc>
        <w:tc>
          <w:tcPr>
            <w:tcW w:w="968" w:type="pct"/>
            <w:vAlign w:val="center"/>
          </w:tcPr>
          <w:p w14:paraId="61CFD4B0">
            <w:pPr>
              <w:numPr>
                <w:ilvl w:val="0"/>
                <w:numId w:val="0"/>
              </w:numPr>
              <w:tabs>
                <w:tab w:val="left" w:pos="403"/>
              </w:tabs>
              <w:spacing w:line="240" w:lineRule="auto"/>
              <w:ind w:left="0" w:leftChars="0" w:firstLine="0" w:firstLineChars="0"/>
              <w:jc w:val="center"/>
              <w:rPr>
                <w:rFonts w:hint="eastAsia" w:ascii="仿宋" w:hAnsi="仿宋" w:eastAsia="仿宋" w:cs="仿宋"/>
                <w:b w:val="0"/>
                <w:bCs w:val="0"/>
              </w:rPr>
            </w:pPr>
            <w:r>
              <w:rPr>
                <w:rFonts w:hint="eastAsia" w:ascii="楷体" w:hAnsi="楷体" w:eastAsia="楷体" w:cs="楷体"/>
                <w:b w:val="0"/>
                <w:bCs w:val="0"/>
                <w:color w:val="auto"/>
                <w:sz w:val="21"/>
                <w:szCs w:val="21"/>
                <w:highlight w:val="none"/>
                <w:shd w:val="clear" w:color="auto" w:fill="auto"/>
                <w:vertAlign w:val="baseline"/>
                <w:lang w:val="en-US" w:eastAsia="zh-CN"/>
              </w:rPr>
              <w:t>★医保耗材代码</w:t>
            </w:r>
          </w:p>
        </w:tc>
        <w:tc>
          <w:tcPr>
            <w:tcW w:w="994" w:type="pct"/>
            <w:vAlign w:val="center"/>
          </w:tcPr>
          <w:p w14:paraId="1CDC2FA7">
            <w:pPr>
              <w:numPr>
                <w:ilvl w:val="0"/>
                <w:numId w:val="0"/>
              </w:numPr>
              <w:tabs>
                <w:tab w:val="left" w:pos="403"/>
              </w:tabs>
              <w:spacing w:line="240" w:lineRule="auto"/>
              <w:ind w:left="0" w:leftChars="0" w:firstLine="0" w:firstLineChars="0"/>
              <w:jc w:val="center"/>
              <w:rPr>
                <w:rFonts w:hint="eastAsia" w:ascii="仿宋" w:hAnsi="仿宋" w:eastAsia="仿宋" w:cs="仿宋"/>
                <w:b w:val="0"/>
                <w:bCs w:val="0"/>
                <w:lang w:val="en-US" w:eastAsia="zh-CN"/>
              </w:rPr>
            </w:pPr>
            <w:r>
              <w:rPr>
                <w:rFonts w:hint="eastAsia" w:ascii="仿宋" w:hAnsi="仿宋" w:eastAsia="仿宋" w:cs="仿宋"/>
                <w:b w:val="0"/>
                <w:bCs w:val="0"/>
                <w:lang w:val="en-US" w:eastAsia="zh-CN"/>
              </w:rPr>
              <w:t>★添加物</w:t>
            </w:r>
          </w:p>
        </w:tc>
        <w:tc>
          <w:tcPr>
            <w:tcW w:w="898" w:type="pct"/>
            <w:vAlign w:val="center"/>
          </w:tcPr>
          <w:p w14:paraId="5C491BCE">
            <w:pPr>
              <w:pStyle w:val="5"/>
              <w:jc w:val="center"/>
              <w:rPr>
                <w:rFonts w:hint="eastAsia" w:ascii="仿宋" w:hAnsi="仿宋" w:eastAsia="仿宋" w:cs="仿宋"/>
                <w:highlight w:val="none"/>
              </w:rPr>
            </w:pPr>
            <w:r>
              <w:rPr>
                <w:rFonts w:hint="eastAsia" w:ascii="仿宋" w:hAnsi="仿宋" w:eastAsia="仿宋" w:cs="仿宋"/>
                <w:highlight w:val="none"/>
                <w:lang w:val="en-US" w:eastAsia="zh-CN"/>
              </w:rPr>
              <w:t>★附加物</w:t>
            </w:r>
          </w:p>
        </w:tc>
        <w:tc>
          <w:tcPr>
            <w:tcW w:w="634" w:type="pct"/>
            <w:vAlign w:val="center"/>
          </w:tcPr>
          <w:p w14:paraId="2D4D94B3">
            <w:pPr>
              <w:pStyle w:val="5"/>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★要求</w:t>
            </w:r>
          </w:p>
        </w:tc>
        <w:tc>
          <w:tcPr>
            <w:tcW w:w="635" w:type="pct"/>
            <w:vAlign w:val="center"/>
          </w:tcPr>
          <w:p w14:paraId="06B4C787">
            <w:pPr>
              <w:pStyle w:val="5"/>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参考标签及管盖颜色</w:t>
            </w:r>
          </w:p>
        </w:tc>
      </w:tr>
      <w:tr w14:paraId="3C44A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12" w:type="pct"/>
            <w:vAlign w:val="center"/>
          </w:tcPr>
          <w:p w14:paraId="0DD51995">
            <w:pPr>
              <w:pStyle w:val="5"/>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555" w:type="pct"/>
            <w:vAlign w:val="center"/>
          </w:tcPr>
          <w:p w14:paraId="316A3487">
            <w:pPr>
              <w:keepNext w:val="0"/>
              <w:keepLines w:val="0"/>
              <w:widowControl/>
              <w:suppressLineNumbers w:val="0"/>
              <w:jc w:val="center"/>
              <w:textAlignment w:val="center"/>
              <w:rPr>
                <w:rFonts w:hint="default" w:ascii="仿宋" w:hAnsi="仿宋" w:eastAsia="仿宋" w:cs="仿宋"/>
                <w:sz w:val="22"/>
                <w:szCs w:val="28"/>
                <w:lang w:val="en-US"/>
              </w:rPr>
            </w:pPr>
            <w:r>
              <w:rPr>
                <w:rFonts w:hint="eastAsia" w:ascii="仿宋" w:hAnsi="仿宋" w:eastAsia="仿宋" w:cs="仿宋"/>
                <w:b w:val="0"/>
                <w:bCs w:val="0"/>
                <w:color w:val="auto"/>
                <w:sz w:val="18"/>
                <w:szCs w:val="18"/>
                <w:highlight w:val="none"/>
                <w:shd w:val="clear" w:color="auto" w:fill="auto"/>
                <w:lang w:val="en-US" w:eastAsia="zh-CN"/>
              </w:rPr>
              <w:t>血清分离管</w:t>
            </w:r>
          </w:p>
        </w:tc>
        <w:tc>
          <w:tcPr>
            <w:tcW w:w="968" w:type="pct"/>
            <w:vAlign w:val="center"/>
          </w:tcPr>
          <w:p w14:paraId="779B6D60">
            <w:pPr>
              <w:numPr>
                <w:ilvl w:val="0"/>
                <w:numId w:val="0"/>
              </w:numPr>
              <w:spacing w:line="400" w:lineRule="exact"/>
              <w:ind w:left="0" w:leftChars="0" w:firstLine="0" w:firstLineChars="0"/>
              <w:jc w:val="center"/>
              <w:rPr>
                <w:rFonts w:hint="eastAsia" w:ascii="仿宋" w:hAnsi="仿宋" w:eastAsia="仿宋" w:cs="仿宋"/>
                <w:sz w:val="22"/>
                <w:szCs w:val="28"/>
              </w:rPr>
            </w:pPr>
            <w:r>
              <w:rPr>
                <w:rFonts w:hint="eastAsia" w:ascii="仿宋" w:hAnsi="仿宋" w:eastAsia="仿宋" w:cs="仿宋"/>
                <w:sz w:val="20"/>
                <w:szCs w:val="20"/>
              </w:rPr>
              <w:t>C142302203</w:t>
            </w:r>
          </w:p>
        </w:tc>
        <w:tc>
          <w:tcPr>
            <w:tcW w:w="994" w:type="pct"/>
            <w:vAlign w:val="center"/>
          </w:tcPr>
          <w:p w14:paraId="1C1441C1">
            <w:pPr>
              <w:keepNext w:val="0"/>
              <w:keepLines w:val="0"/>
              <w:widowControl/>
              <w:suppressLineNumbers w:val="0"/>
              <w:jc w:val="center"/>
              <w:textAlignment w:val="center"/>
              <w:rPr>
                <w:rFonts w:hint="default" w:ascii="仿宋" w:hAnsi="仿宋" w:eastAsia="仿宋" w:cs="仿宋"/>
                <w:sz w:val="22"/>
                <w:szCs w:val="28"/>
                <w:lang w:val="en-US" w:eastAsia="zh-CN"/>
              </w:rPr>
            </w:pPr>
            <w:r>
              <w:rPr>
                <w:rFonts w:hint="eastAsia" w:ascii="仿宋" w:hAnsi="仿宋" w:eastAsia="仿宋" w:cs="仿宋"/>
                <w:i w:val="0"/>
                <w:iCs w:val="0"/>
                <w:color w:val="000000"/>
                <w:kern w:val="0"/>
                <w:sz w:val="20"/>
                <w:szCs w:val="20"/>
                <w:u w:val="none"/>
                <w:lang w:val="en-US" w:eastAsia="zh-CN" w:bidi="ar"/>
              </w:rPr>
              <w:t>促凝剂</w:t>
            </w:r>
          </w:p>
        </w:tc>
        <w:tc>
          <w:tcPr>
            <w:tcW w:w="898" w:type="pct"/>
            <w:vAlign w:val="center"/>
          </w:tcPr>
          <w:p w14:paraId="03796DA9">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无</w:t>
            </w:r>
          </w:p>
        </w:tc>
        <w:tc>
          <w:tcPr>
            <w:tcW w:w="634" w:type="pct"/>
            <w:vAlign w:val="center"/>
          </w:tcPr>
          <w:p w14:paraId="7AB1CFC8">
            <w:pPr>
              <w:keepNext w:val="0"/>
              <w:keepLines w:val="0"/>
              <w:widowControl/>
              <w:suppressLineNumbers w:val="0"/>
              <w:jc w:val="center"/>
              <w:textAlignment w:val="center"/>
              <w:rPr>
                <w:rFonts w:hint="default"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符合WS/T 224-2018标准</w:t>
            </w:r>
          </w:p>
        </w:tc>
        <w:tc>
          <w:tcPr>
            <w:tcW w:w="635" w:type="pct"/>
            <w:vAlign w:val="center"/>
          </w:tcPr>
          <w:p w14:paraId="1C218599">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红色</w:t>
            </w:r>
          </w:p>
        </w:tc>
      </w:tr>
      <w:tr w14:paraId="592CC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12" w:type="pct"/>
            <w:vAlign w:val="center"/>
          </w:tcPr>
          <w:p w14:paraId="5557C0E4">
            <w:pPr>
              <w:pStyle w:val="5"/>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555" w:type="pct"/>
            <w:vAlign w:val="center"/>
          </w:tcPr>
          <w:p w14:paraId="7AA09E48">
            <w:pPr>
              <w:keepNext w:val="0"/>
              <w:keepLines w:val="0"/>
              <w:widowControl/>
              <w:suppressLineNumbers w:val="0"/>
              <w:jc w:val="center"/>
              <w:textAlignment w:val="center"/>
              <w:rPr>
                <w:rFonts w:hint="default" w:ascii="仿宋" w:hAnsi="仿宋" w:eastAsia="仿宋" w:cs="仿宋"/>
                <w:sz w:val="22"/>
                <w:szCs w:val="28"/>
                <w:lang w:val="en-US" w:eastAsia="zh-CN"/>
              </w:rPr>
            </w:pPr>
            <w:r>
              <w:rPr>
                <w:rFonts w:hint="eastAsia" w:ascii="仿宋" w:hAnsi="仿宋" w:eastAsia="仿宋" w:cs="仿宋"/>
                <w:b w:val="0"/>
                <w:bCs w:val="0"/>
                <w:color w:val="auto"/>
                <w:sz w:val="18"/>
                <w:szCs w:val="18"/>
                <w:highlight w:val="none"/>
                <w:shd w:val="clear" w:color="auto" w:fill="auto"/>
                <w:lang w:val="en-US" w:eastAsia="zh-CN"/>
              </w:rPr>
              <w:t>血清分离管</w:t>
            </w:r>
          </w:p>
        </w:tc>
        <w:tc>
          <w:tcPr>
            <w:tcW w:w="968" w:type="pct"/>
            <w:vAlign w:val="center"/>
          </w:tcPr>
          <w:p w14:paraId="71E3AC91">
            <w:pPr>
              <w:numPr>
                <w:ilvl w:val="0"/>
                <w:numId w:val="0"/>
              </w:numPr>
              <w:spacing w:line="400" w:lineRule="exact"/>
              <w:ind w:left="0" w:leftChars="0" w:firstLine="0" w:firstLineChars="0"/>
              <w:jc w:val="center"/>
              <w:rPr>
                <w:rFonts w:hint="eastAsia" w:ascii="仿宋" w:hAnsi="仿宋" w:eastAsia="仿宋" w:cs="仿宋"/>
                <w:sz w:val="22"/>
                <w:szCs w:val="28"/>
                <w:lang w:val="en-US" w:eastAsia="zh-CN"/>
              </w:rPr>
            </w:pPr>
            <w:r>
              <w:rPr>
                <w:rFonts w:hint="eastAsia" w:ascii="仿宋" w:hAnsi="仿宋" w:eastAsia="仿宋" w:cs="仿宋"/>
                <w:sz w:val="20"/>
                <w:szCs w:val="20"/>
              </w:rPr>
              <w:t>C142302203</w:t>
            </w:r>
          </w:p>
        </w:tc>
        <w:tc>
          <w:tcPr>
            <w:tcW w:w="994" w:type="pct"/>
            <w:vAlign w:val="center"/>
          </w:tcPr>
          <w:p w14:paraId="0BDF9478">
            <w:pPr>
              <w:keepNext w:val="0"/>
              <w:keepLines w:val="0"/>
              <w:widowControl/>
              <w:suppressLineNumbers w:val="0"/>
              <w:jc w:val="center"/>
              <w:textAlignment w:val="center"/>
              <w:rPr>
                <w:rFonts w:hint="eastAsia" w:ascii="仿宋" w:hAnsi="仿宋" w:eastAsia="仿宋" w:cs="仿宋"/>
                <w:sz w:val="22"/>
                <w:szCs w:val="28"/>
                <w:lang w:val="en-US" w:eastAsia="zh-CN"/>
              </w:rPr>
            </w:pPr>
            <w:r>
              <w:rPr>
                <w:rFonts w:hint="eastAsia" w:ascii="仿宋" w:hAnsi="仿宋" w:eastAsia="仿宋" w:cs="仿宋"/>
                <w:i w:val="0"/>
                <w:iCs w:val="0"/>
                <w:color w:val="000000"/>
                <w:kern w:val="0"/>
                <w:sz w:val="20"/>
                <w:szCs w:val="20"/>
                <w:u w:val="none"/>
                <w:lang w:val="en-US" w:eastAsia="zh-CN" w:bidi="ar"/>
              </w:rPr>
              <w:t>促凝剂</w:t>
            </w:r>
          </w:p>
        </w:tc>
        <w:tc>
          <w:tcPr>
            <w:tcW w:w="898" w:type="pct"/>
            <w:vAlign w:val="center"/>
          </w:tcPr>
          <w:p w14:paraId="347A90F7">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分离胶</w:t>
            </w:r>
          </w:p>
        </w:tc>
        <w:tc>
          <w:tcPr>
            <w:tcW w:w="634" w:type="pct"/>
            <w:vAlign w:val="center"/>
          </w:tcPr>
          <w:p w14:paraId="17CB61A1">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符合WS/T 224-2018标准</w:t>
            </w:r>
          </w:p>
        </w:tc>
        <w:tc>
          <w:tcPr>
            <w:tcW w:w="635" w:type="pct"/>
            <w:vAlign w:val="center"/>
          </w:tcPr>
          <w:p w14:paraId="743035F7">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金黄色</w:t>
            </w:r>
          </w:p>
        </w:tc>
      </w:tr>
      <w:tr w14:paraId="4C58D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12" w:type="pct"/>
            <w:vAlign w:val="center"/>
          </w:tcPr>
          <w:p w14:paraId="3AEA8FCD">
            <w:pPr>
              <w:pStyle w:val="5"/>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555" w:type="pct"/>
            <w:vAlign w:val="center"/>
          </w:tcPr>
          <w:p w14:paraId="420F8A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val="0"/>
                <w:bCs w:val="0"/>
                <w:color w:val="auto"/>
                <w:sz w:val="18"/>
                <w:szCs w:val="18"/>
                <w:highlight w:val="none"/>
                <w:shd w:val="clear" w:color="auto" w:fill="auto"/>
                <w:lang w:val="en-US" w:eastAsia="zh-CN"/>
              </w:rPr>
              <w:t>血常规管</w:t>
            </w:r>
          </w:p>
        </w:tc>
        <w:tc>
          <w:tcPr>
            <w:tcW w:w="968" w:type="pct"/>
            <w:vAlign w:val="center"/>
          </w:tcPr>
          <w:p w14:paraId="6CA0A0FE">
            <w:pPr>
              <w:numPr>
                <w:ilvl w:val="0"/>
                <w:numId w:val="0"/>
              </w:numPr>
              <w:spacing w:line="400" w:lineRule="exact"/>
              <w:ind w:left="0" w:leftChars="0" w:firstLine="0" w:firstLineChars="0"/>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sz w:val="20"/>
                <w:szCs w:val="20"/>
              </w:rPr>
              <w:t>C142302203</w:t>
            </w:r>
          </w:p>
        </w:tc>
        <w:tc>
          <w:tcPr>
            <w:tcW w:w="994" w:type="pct"/>
            <w:vAlign w:val="center"/>
          </w:tcPr>
          <w:p w14:paraId="64B541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EDTA二钾盐</w:t>
            </w:r>
          </w:p>
        </w:tc>
        <w:tc>
          <w:tcPr>
            <w:tcW w:w="898" w:type="pct"/>
            <w:vAlign w:val="center"/>
          </w:tcPr>
          <w:p w14:paraId="6033CB16">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无</w:t>
            </w:r>
          </w:p>
        </w:tc>
        <w:tc>
          <w:tcPr>
            <w:tcW w:w="634" w:type="pct"/>
            <w:vAlign w:val="center"/>
          </w:tcPr>
          <w:p w14:paraId="5AA298A7">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符合WS/T 224-2018标准</w:t>
            </w:r>
          </w:p>
        </w:tc>
        <w:tc>
          <w:tcPr>
            <w:tcW w:w="635" w:type="pct"/>
            <w:vAlign w:val="center"/>
          </w:tcPr>
          <w:p w14:paraId="64ADE360">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紫色</w:t>
            </w:r>
          </w:p>
        </w:tc>
      </w:tr>
      <w:tr w14:paraId="7A8D8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12" w:type="pct"/>
            <w:vAlign w:val="center"/>
          </w:tcPr>
          <w:p w14:paraId="59BBEBA0">
            <w:pPr>
              <w:pStyle w:val="5"/>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555" w:type="pct"/>
            <w:vAlign w:val="center"/>
          </w:tcPr>
          <w:p w14:paraId="368A93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val="0"/>
                <w:bCs w:val="0"/>
                <w:color w:val="auto"/>
                <w:sz w:val="18"/>
                <w:szCs w:val="18"/>
                <w:highlight w:val="none"/>
                <w:shd w:val="clear" w:color="auto" w:fill="auto"/>
                <w:lang w:val="en-US" w:eastAsia="zh-CN"/>
              </w:rPr>
              <w:t>凝血功能检测管</w:t>
            </w:r>
          </w:p>
        </w:tc>
        <w:tc>
          <w:tcPr>
            <w:tcW w:w="968" w:type="pct"/>
            <w:vAlign w:val="center"/>
          </w:tcPr>
          <w:p w14:paraId="7ABF60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C142302203</w:t>
            </w:r>
          </w:p>
        </w:tc>
        <w:tc>
          <w:tcPr>
            <w:tcW w:w="994" w:type="pct"/>
            <w:vAlign w:val="center"/>
          </w:tcPr>
          <w:p w14:paraId="3140E9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柠檬酸钠9:1</w:t>
            </w:r>
          </w:p>
        </w:tc>
        <w:tc>
          <w:tcPr>
            <w:tcW w:w="898" w:type="pct"/>
            <w:vAlign w:val="center"/>
          </w:tcPr>
          <w:p w14:paraId="6BBD302E">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无</w:t>
            </w:r>
          </w:p>
        </w:tc>
        <w:tc>
          <w:tcPr>
            <w:tcW w:w="634" w:type="pct"/>
            <w:vAlign w:val="center"/>
          </w:tcPr>
          <w:p w14:paraId="0A03CE10">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符合WS/T 224-2018标准</w:t>
            </w:r>
          </w:p>
        </w:tc>
        <w:tc>
          <w:tcPr>
            <w:tcW w:w="635" w:type="pct"/>
            <w:vAlign w:val="center"/>
          </w:tcPr>
          <w:p w14:paraId="32C6A08E">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浅蓝色</w:t>
            </w:r>
          </w:p>
        </w:tc>
      </w:tr>
      <w:tr w14:paraId="61974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12" w:type="pct"/>
            <w:vAlign w:val="center"/>
          </w:tcPr>
          <w:p w14:paraId="571AC588">
            <w:pPr>
              <w:pStyle w:val="5"/>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555" w:type="pct"/>
            <w:vAlign w:val="center"/>
          </w:tcPr>
          <w:p w14:paraId="63488C98">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血沉管</w:t>
            </w:r>
          </w:p>
        </w:tc>
        <w:tc>
          <w:tcPr>
            <w:tcW w:w="968" w:type="pct"/>
            <w:vAlign w:val="center"/>
          </w:tcPr>
          <w:p w14:paraId="3EF0BD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C142302203</w:t>
            </w:r>
          </w:p>
        </w:tc>
        <w:tc>
          <w:tcPr>
            <w:tcW w:w="994" w:type="pct"/>
            <w:vAlign w:val="center"/>
          </w:tcPr>
          <w:p w14:paraId="4B4010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柠檬酸钠4:1</w:t>
            </w:r>
          </w:p>
        </w:tc>
        <w:tc>
          <w:tcPr>
            <w:tcW w:w="898" w:type="pct"/>
            <w:vAlign w:val="center"/>
          </w:tcPr>
          <w:p w14:paraId="30A721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无</w:t>
            </w:r>
          </w:p>
        </w:tc>
        <w:tc>
          <w:tcPr>
            <w:tcW w:w="634" w:type="pct"/>
            <w:vAlign w:val="center"/>
          </w:tcPr>
          <w:p w14:paraId="3519965D">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符合WS/T 224-2018标准</w:t>
            </w:r>
          </w:p>
        </w:tc>
        <w:tc>
          <w:tcPr>
            <w:tcW w:w="635" w:type="pct"/>
            <w:vAlign w:val="center"/>
          </w:tcPr>
          <w:p w14:paraId="5136B650">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黑色</w:t>
            </w:r>
          </w:p>
        </w:tc>
      </w:tr>
      <w:tr w14:paraId="7E9F1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12" w:type="pct"/>
            <w:vAlign w:val="center"/>
          </w:tcPr>
          <w:p w14:paraId="36C698F5">
            <w:pPr>
              <w:pStyle w:val="5"/>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555" w:type="pct"/>
            <w:vAlign w:val="center"/>
          </w:tcPr>
          <w:p w14:paraId="68E2F9B4">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急诊生化管</w:t>
            </w:r>
          </w:p>
        </w:tc>
        <w:tc>
          <w:tcPr>
            <w:tcW w:w="968" w:type="pct"/>
            <w:vAlign w:val="center"/>
          </w:tcPr>
          <w:p w14:paraId="58C990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C142302203</w:t>
            </w:r>
          </w:p>
        </w:tc>
        <w:tc>
          <w:tcPr>
            <w:tcW w:w="994" w:type="pct"/>
            <w:vAlign w:val="center"/>
          </w:tcPr>
          <w:p w14:paraId="0CDB30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肝素钠</w:t>
            </w:r>
          </w:p>
        </w:tc>
        <w:tc>
          <w:tcPr>
            <w:tcW w:w="898" w:type="pct"/>
            <w:vAlign w:val="center"/>
          </w:tcPr>
          <w:p w14:paraId="23D392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无</w:t>
            </w:r>
          </w:p>
        </w:tc>
        <w:tc>
          <w:tcPr>
            <w:tcW w:w="634" w:type="pct"/>
            <w:vAlign w:val="center"/>
          </w:tcPr>
          <w:p w14:paraId="49859992">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符合WS/T 224-2018标准</w:t>
            </w:r>
          </w:p>
        </w:tc>
        <w:tc>
          <w:tcPr>
            <w:tcW w:w="635" w:type="pct"/>
            <w:vAlign w:val="center"/>
          </w:tcPr>
          <w:p w14:paraId="5CA5036F">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绿色</w:t>
            </w:r>
          </w:p>
        </w:tc>
      </w:tr>
      <w:tr w14:paraId="3E454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12" w:type="pct"/>
            <w:vAlign w:val="center"/>
          </w:tcPr>
          <w:p w14:paraId="4C9B310F">
            <w:pPr>
              <w:pStyle w:val="5"/>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555" w:type="pct"/>
            <w:vAlign w:val="center"/>
          </w:tcPr>
          <w:p w14:paraId="4215913F">
            <w:pPr>
              <w:keepNext w:val="0"/>
              <w:keepLines w:val="0"/>
              <w:widowControl/>
              <w:suppressLineNumbers w:val="0"/>
              <w:jc w:val="center"/>
              <w:textAlignment w:val="center"/>
              <w:rPr>
                <w:rFonts w:hint="eastAsia" w:ascii="仿宋" w:hAnsi="仿宋" w:eastAsia="仿宋" w:cs="仿宋"/>
                <w:b w:val="0"/>
                <w:bCs w:val="0"/>
                <w:color w:val="auto"/>
                <w:sz w:val="18"/>
                <w:szCs w:val="18"/>
                <w:highlight w:val="none"/>
                <w:shd w:val="clear" w:color="auto" w:fill="auto"/>
                <w:lang w:val="en-US" w:eastAsia="zh-CN"/>
              </w:rPr>
            </w:pPr>
            <w:r>
              <w:rPr>
                <w:rFonts w:hint="eastAsia" w:ascii="仿宋" w:hAnsi="仿宋" w:eastAsia="仿宋" w:cs="仿宋"/>
                <w:b w:val="0"/>
                <w:bCs w:val="0"/>
                <w:color w:val="auto"/>
                <w:sz w:val="18"/>
                <w:szCs w:val="18"/>
                <w:highlight w:val="none"/>
                <w:shd w:val="clear" w:color="auto" w:fill="auto"/>
                <w:lang w:val="en-US" w:eastAsia="zh-CN"/>
              </w:rPr>
              <w:t>急诊生化管</w:t>
            </w:r>
          </w:p>
        </w:tc>
        <w:tc>
          <w:tcPr>
            <w:tcW w:w="968" w:type="pct"/>
            <w:vAlign w:val="center"/>
          </w:tcPr>
          <w:p w14:paraId="0F623C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C142302203</w:t>
            </w:r>
          </w:p>
        </w:tc>
        <w:tc>
          <w:tcPr>
            <w:tcW w:w="994" w:type="pct"/>
            <w:vAlign w:val="center"/>
          </w:tcPr>
          <w:p w14:paraId="65F604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肝素锂</w:t>
            </w:r>
          </w:p>
        </w:tc>
        <w:tc>
          <w:tcPr>
            <w:tcW w:w="898" w:type="pct"/>
            <w:vAlign w:val="center"/>
          </w:tcPr>
          <w:p w14:paraId="395007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无</w:t>
            </w:r>
          </w:p>
        </w:tc>
        <w:tc>
          <w:tcPr>
            <w:tcW w:w="634" w:type="pct"/>
            <w:vAlign w:val="center"/>
          </w:tcPr>
          <w:p w14:paraId="79F00DA2">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符合WS/T 224-2018标准</w:t>
            </w:r>
          </w:p>
        </w:tc>
        <w:tc>
          <w:tcPr>
            <w:tcW w:w="635" w:type="pct"/>
            <w:vAlign w:val="center"/>
          </w:tcPr>
          <w:p w14:paraId="6812FEC0">
            <w:pPr>
              <w:keepNext w:val="0"/>
              <w:keepLines w:val="0"/>
              <w:widowControl/>
              <w:suppressLineNumbers w:val="0"/>
              <w:jc w:val="center"/>
              <w:textAlignment w:val="center"/>
              <w:rPr>
                <w:rFonts w:hint="eastAsia" w:ascii="仿宋" w:hAnsi="仿宋" w:eastAsia="仿宋" w:cs="仿宋"/>
                <w:sz w:val="22"/>
                <w:szCs w:val="28"/>
                <w:highlight w:val="none"/>
                <w:lang w:val="en-US" w:eastAsia="zh-CN"/>
              </w:rPr>
            </w:pPr>
            <w:r>
              <w:rPr>
                <w:rFonts w:hint="eastAsia" w:ascii="仿宋" w:hAnsi="仿宋" w:eastAsia="仿宋" w:cs="仿宋"/>
                <w:i w:val="0"/>
                <w:iCs w:val="0"/>
                <w:color w:val="000000"/>
                <w:kern w:val="0"/>
                <w:sz w:val="20"/>
                <w:szCs w:val="20"/>
                <w:u w:val="none"/>
                <w:lang w:val="en-US" w:eastAsia="zh-CN" w:bidi="ar"/>
              </w:rPr>
              <w:t>绿色</w:t>
            </w:r>
          </w:p>
        </w:tc>
      </w:tr>
    </w:tbl>
    <w:p w14:paraId="49C4120F">
      <w:pPr>
        <w:pStyle w:val="5"/>
        <w:jc w:val="left"/>
        <w:outlineLvl w:val="9"/>
        <w:rPr>
          <w:rFonts w:hint="eastAsia" w:ascii="仿宋" w:hAnsi="仿宋" w:eastAsia="仿宋" w:cs="仿宋"/>
          <w:b/>
          <w:bCs/>
          <w:sz w:val="22"/>
          <w:szCs w:val="22"/>
        </w:rPr>
      </w:pPr>
    </w:p>
    <w:p w14:paraId="22651C6F">
      <w:pPr>
        <w:pStyle w:val="5"/>
        <w:jc w:val="left"/>
        <w:outlineLvl w:val="2"/>
        <w:rPr>
          <w:rFonts w:hint="eastAsia" w:ascii="仿宋" w:hAnsi="仿宋" w:eastAsia="仿宋" w:cs="仿宋"/>
          <w:b/>
          <w:bCs/>
          <w:sz w:val="22"/>
          <w:szCs w:val="22"/>
        </w:rPr>
      </w:pPr>
      <w:r>
        <w:rPr>
          <w:rFonts w:hint="eastAsia" w:ascii="仿宋" w:hAnsi="仿宋" w:eastAsia="仿宋" w:cs="仿宋"/>
          <w:b/>
          <w:bCs/>
          <w:sz w:val="22"/>
          <w:szCs w:val="22"/>
        </w:rPr>
        <w:t>采购包</w:t>
      </w:r>
      <w:r>
        <w:rPr>
          <w:rFonts w:hint="eastAsia" w:ascii="仿宋" w:hAnsi="仿宋" w:eastAsia="仿宋" w:cs="仿宋"/>
          <w:b/>
          <w:bCs/>
          <w:sz w:val="22"/>
          <w:szCs w:val="22"/>
          <w:lang w:val="en-US" w:eastAsia="zh-CN"/>
        </w:rPr>
        <w:t>2</w:t>
      </w:r>
      <w:r>
        <w:rPr>
          <w:rFonts w:hint="eastAsia" w:ascii="仿宋" w:hAnsi="仿宋" w:eastAsia="仿宋" w:cs="仿宋"/>
          <w:b/>
          <w:bCs/>
          <w:sz w:val="22"/>
          <w:szCs w:val="22"/>
        </w:rPr>
        <w:t>：</w:t>
      </w:r>
    </w:p>
    <w:tbl>
      <w:tblPr>
        <w:tblStyle w:val="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9"/>
        <w:gridCol w:w="1546"/>
        <w:gridCol w:w="2828"/>
        <w:gridCol w:w="3157"/>
      </w:tblGrid>
      <w:tr w14:paraId="729D4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7" w:hRule="atLeast"/>
        </w:trPr>
        <w:tc>
          <w:tcPr>
            <w:tcW w:w="580" w:type="pct"/>
            <w:vAlign w:val="center"/>
          </w:tcPr>
          <w:p w14:paraId="5FFB5C41">
            <w:pPr>
              <w:pStyle w:val="5"/>
              <w:jc w:val="center"/>
              <w:rPr>
                <w:rFonts w:hint="eastAsia" w:ascii="仿宋" w:hAnsi="仿宋" w:eastAsia="仿宋" w:cs="仿宋"/>
              </w:rPr>
            </w:pPr>
            <w:r>
              <w:rPr>
                <w:rFonts w:hint="eastAsia" w:ascii="仿宋" w:hAnsi="仿宋" w:eastAsia="仿宋" w:cs="仿宋"/>
              </w:rPr>
              <w:t>序号</w:t>
            </w:r>
          </w:p>
        </w:tc>
        <w:tc>
          <w:tcPr>
            <w:tcW w:w="907" w:type="pct"/>
            <w:vAlign w:val="center"/>
          </w:tcPr>
          <w:p w14:paraId="6471B57C">
            <w:pPr>
              <w:numPr>
                <w:ilvl w:val="0"/>
                <w:numId w:val="0"/>
              </w:numPr>
              <w:spacing w:line="400" w:lineRule="exact"/>
              <w:ind w:left="0" w:leftChars="0" w:firstLine="0" w:firstLineChars="0"/>
              <w:jc w:val="center"/>
              <w:rPr>
                <w:rFonts w:hint="eastAsia" w:ascii="仿宋" w:hAnsi="仿宋" w:eastAsia="仿宋" w:cs="仿宋"/>
                <w:b w:val="0"/>
                <w:bCs w:val="0"/>
              </w:rPr>
            </w:pPr>
            <w:r>
              <w:rPr>
                <w:rFonts w:hint="eastAsia" w:ascii="仿宋" w:hAnsi="仿宋" w:eastAsia="仿宋" w:cs="仿宋"/>
                <w:b/>
                <w:bCs/>
                <w:color w:val="auto"/>
                <w:sz w:val="20"/>
                <w:szCs w:val="20"/>
                <w:highlight w:val="none"/>
                <w:shd w:val="clear" w:color="auto" w:fill="auto"/>
                <w:lang w:val="en-US" w:eastAsia="zh-CN"/>
              </w:rPr>
              <w:t>标的名称</w:t>
            </w:r>
          </w:p>
        </w:tc>
        <w:tc>
          <w:tcPr>
            <w:tcW w:w="1659" w:type="pct"/>
            <w:vAlign w:val="center"/>
          </w:tcPr>
          <w:p w14:paraId="17F31752">
            <w:pPr>
              <w:numPr>
                <w:ilvl w:val="0"/>
                <w:numId w:val="0"/>
              </w:numPr>
              <w:spacing w:line="400" w:lineRule="exact"/>
              <w:ind w:left="0" w:leftChars="0" w:firstLine="0" w:firstLineChars="0"/>
              <w:jc w:val="center"/>
              <w:rPr>
                <w:rFonts w:hint="eastAsia" w:ascii="仿宋" w:hAnsi="仿宋" w:eastAsia="仿宋" w:cs="仿宋"/>
                <w:b w:val="0"/>
                <w:bCs w:val="0"/>
              </w:rPr>
            </w:pPr>
            <w:r>
              <w:rPr>
                <w:rFonts w:hint="eastAsia" w:ascii="仿宋" w:hAnsi="仿宋" w:eastAsia="仿宋" w:cs="仿宋"/>
                <w:b/>
                <w:bCs/>
                <w:color w:val="auto"/>
                <w:sz w:val="20"/>
                <w:szCs w:val="20"/>
                <w:highlight w:val="none"/>
                <w:shd w:val="clear" w:color="auto" w:fill="auto"/>
                <w:vertAlign w:val="baseline"/>
                <w:lang w:val="en-US" w:eastAsia="zh-CN"/>
              </w:rPr>
              <w:t>★医保耗材代码</w:t>
            </w:r>
          </w:p>
        </w:tc>
        <w:tc>
          <w:tcPr>
            <w:tcW w:w="1852" w:type="pct"/>
            <w:vAlign w:val="center"/>
          </w:tcPr>
          <w:p w14:paraId="603A97BC">
            <w:pPr>
              <w:numPr>
                <w:ilvl w:val="0"/>
                <w:numId w:val="0"/>
              </w:numPr>
              <w:spacing w:line="400" w:lineRule="exact"/>
              <w:ind w:left="0" w:leftChars="0" w:firstLine="0" w:firstLineChars="0"/>
              <w:jc w:val="center"/>
              <w:rPr>
                <w:rFonts w:hint="eastAsia" w:ascii="仿宋" w:hAnsi="仿宋" w:eastAsia="仿宋" w:cs="仿宋"/>
                <w:b w:val="0"/>
                <w:bCs w:val="0"/>
                <w:lang w:val="en-US" w:eastAsia="zh-CN"/>
              </w:rPr>
            </w:pPr>
            <w:r>
              <w:rPr>
                <w:rFonts w:hint="eastAsia" w:ascii="仿宋" w:hAnsi="仿宋" w:eastAsia="仿宋" w:cs="仿宋"/>
                <w:b/>
                <w:bCs/>
                <w:color w:val="auto"/>
                <w:sz w:val="20"/>
                <w:szCs w:val="20"/>
                <w:highlight w:val="none"/>
                <w:shd w:val="clear" w:color="auto" w:fill="auto"/>
                <w:vertAlign w:val="baseline"/>
                <w:lang w:val="en-US" w:eastAsia="zh-CN"/>
              </w:rPr>
              <w:t>★预期用途</w:t>
            </w:r>
          </w:p>
        </w:tc>
      </w:tr>
      <w:tr w14:paraId="1E152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7" w:hRule="atLeast"/>
        </w:trPr>
        <w:tc>
          <w:tcPr>
            <w:tcW w:w="580" w:type="pct"/>
            <w:vAlign w:val="center"/>
          </w:tcPr>
          <w:p w14:paraId="070956D1">
            <w:pPr>
              <w:pStyle w:val="5"/>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546" w:type="dxa"/>
            <w:vAlign w:val="center"/>
          </w:tcPr>
          <w:p w14:paraId="512A1E7D">
            <w:pPr>
              <w:keepNext w:val="0"/>
              <w:keepLines w:val="0"/>
              <w:widowControl/>
              <w:suppressLineNumbers w:val="0"/>
              <w:jc w:val="center"/>
              <w:textAlignment w:val="center"/>
              <w:rPr>
                <w:rFonts w:hint="eastAsia" w:ascii="楷体" w:hAnsi="楷体" w:eastAsia="楷体" w:cs="楷体"/>
                <w:b w:val="0"/>
                <w:bCs w:val="0"/>
                <w:color w:val="auto"/>
                <w:sz w:val="21"/>
                <w:szCs w:val="21"/>
                <w:highlight w:val="none"/>
                <w:shd w:val="clear" w:color="auto" w:fill="auto"/>
                <w:vertAlign w:val="baseline"/>
                <w:lang w:val="en-US" w:eastAsia="zh-CN"/>
              </w:rPr>
            </w:pPr>
            <w:r>
              <w:rPr>
                <w:rFonts w:hint="default" w:ascii="仿宋" w:hAnsi="仿宋" w:eastAsia="仿宋" w:cs="仿宋"/>
                <w:i w:val="0"/>
                <w:iCs w:val="0"/>
                <w:color w:val="000000"/>
                <w:kern w:val="0"/>
                <w:sz w:val="20"/>
                <w:szCs w:val="20"/>
                <w:u w:val="none"/>
                <w:lang w:val="en-US" w:eastAsia="zh-CN" w:bidi="ar"/>
              </w:rPr>
              <w:t>一次性使用静脉采血针</w:t>
            </w:r>
          </w:p>
        </w:tc>
        <w:tc>
          <w:tcPr>
            <w:tcW w:w="2828" w:type="dxa"/>
            <w:vAlign w:val="center"/>
          </w:tcPr>
          <w:p w14:paraId="2C935504">
            <w:pPr>
              <w:keepNext w:val="0"/>
              <w:keepLines w:val="0"/>
              <w:widowControl/>
              <w:suppressLineNumbers w:val="0"/>
              <w:jc w:val="center"/>
              <w:textAlignment w:val="center"/>
              <w:rPr>
                <w:rFonts w:hint="eastAsia" w:ascii="楷体" w:hAnsi="楷体" w:eastAsia="楷体" w:cs="楷体"/>
                <w:b w:val="0"/>
                <w:bCs w:val="0"/>
                <w:color w:val="auto"/>
                <w:sz w:val="21"/>
                <w:szCs w:val="21"/>
                <w:highlight w:val="none"/>
                <w:shd w:val="clear" w:color="auto" w:fill="auto"/>
                <w:vertAlign w:val="baseline"/>
                <w:lang w:val="en-US" w:eastAsia="zh-CN"/>
              </w:rPr>
            </w:pPr>
            <w:r>
              <w:rPr>
                <w:rFonts w:hint="default" w:ascii="仿宋" w:hAnsi="仿宋" w:eastAsia="仿宋" w:cs="仿宋"/>
                <w:i w:val="0"/>
                <w:iCs w:val="0"/>
                <w:color w:val="000000"/>
                <w:kern w:val="0"/>
                <w:sz w:val="20"/>
                <w:szCs w:val="20"/>
                <w:u w:val="none"/>
                <w:lang w:val="en-US" w:eastAsia="zh-CN" w:bidi="ar"/>
              </w:rPr>
              <w:t>C160306215</w:t>
            </w:r>
          </w:p>
        </w:tc>
        <w:tc>
          <w:tcPr>
            <w:tcW w:w="3157" w:type="dxa"/>
            <w:vAlign w:val="center"/>
          </w:tcPr>
          <w:p w14:paraId="67CD4078">
            <w:pPr>
              <w:keepNext w:val="0"/>
              <w:keepLines w:val="0"/>
              <w:widowControl/>
              <w:suppressLineNumbers w:val="0"/>
              <w:jc w:val="center"/>
              <w:textAlignment w:val="center"/>
              <w:rPr>
                <w:rFonts w:hint="eastAsia" w:ascii="仿宋" w:hAnsi="仿宋" w:eastAsia="仿宋" w:cs="仿宋"/>
                <w:b w:val="0"/>
                <w:bCs w:val="0"/>
                <w:lang w:val="en-US" w:eastAsia="zh-CN"/>
              </w:rPr>
            </w:pPr>
            <w:r>
              <w:rPr>
                <w:rFonts w:hint="default" w:ascii="仿宋" w:hAnsi="仿宋" w:eastAsia="仿宋" w:cs="仿宋"/>
                <w:i w:val="0"/>
                <w:iCs w:val="0"/>
                <w:color w:val="000000"/>
                <w:kern w:val="0"/>
                <w:sz w:val="20"/>
                <w:szCs w:val="20"/>
                <w:u w:val="none"/>
                <w:lang w:val="en-US" w:eastAsia="zh-CN" w:bidi="ar"/>
              </w:rPr>
              <w:t>用于采集患者的静脉血液样本。</w:t>
            </w:r>
          </w:p>
        </w:tc>
      </w:tr>
    </w:tbl>
    <w:p w14:paraId="40F61613">
      <w:pPr>
        <w:pStyle w:val="5"/>
        <w:jc w:val="left"/>
        <w:outlineLvl w:val="9"/>
        <w:rPr>
          <w:rFonts w:hint="eastAsia" w:ascii="仿宋" w:hAnsi="仿宋" w:eastAsia="仿宋" w:cs="仿宋"/>
          <w:b/>
          <w:sz w:val="28"/>
        </w:rPr>
      </w:pPr>
    </w:p>
    <w:p w14:paraId="575A8FDB">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outlineLvl w:val="1"/>
        <w:rPr>
          <w:rFonts w:hint="eastAsia" w:ascii="仿宋" w:hAnsi="仿宋" w:eastAsia="仿宋" w:cs="仿宋"/>
          <w:b/>
          <w:bCs/>
          <w:color w:val="000000"/>
          <w:sz w:val="28"/>
          <w:szCs w:val="28"/>
          <w:lang w:val="en-US" w:eastAsia="zh-CN"/>
        </w:rPr>
      </w:pPr>
      <w:r>
        <w:rPr>
          <w:rFonts w:hint="eastAsia" w:ascii="Times New Roman" w:hAnsi="Times New Roman" w:eastAsia="仿宋" w:cs="Times New Roman"/>
          <w:b/>
          <w:bCs/>
          <w:color w:val="auto"/>
          <w:sz w:val="22"/>
          <w:szCs w:val="22"/>
          <w:highlight w:val="none"/>
          <w:shd w:val="clear" w:color="auto" w:fill="auto"/>
          <w:lang w:val="en-US" w:eastAsia="zh-CN"/>
        </w:rPr>
        <w:t>★</w:t>
      </w:r>
      <w:r>
        <w:rPr>
          <w:rFonts w:hint="eastAsia" w:ascii="仿宋" w:hAnsi="仿宋" w:eastAsia="仿宋" w:cs="仿宋"/>
          <w:b/>
          <w:sz w:val="28"/>
        </w:rPr>
        <w:t>3.3.</w:t>
      </w:r>
      <w:r>
        <w:rPr>
          <w:rFonts w:hint="eastAsia" w:ascii="仿宋" w:hAnsi="仿宋" w:eastAsia="仿宋" w:cs="仿宋"/>
          <w:b/>
          <w:sz w:val="28"/>
          <w:lang w:val="en-US" w:eastAsia="zh-CN"/>
        </w:rPr>
        <w:t>项目采购要求</w:t>
      </w:r>
    </w:p>
    <w:p w14:paraId="55A42E45">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outlineLvl w:val="2"/>
        <w:rPr>
          <w:rFonts w:hint="eastAsia" w:ascii="仿宋" w:hAnsi="仿宋" w:eastAsia="仿宋" w:cs="仿宋"/>
          <w:b/>
          <w:sz w:val="28"/>
          <w:lang w:val="en-US" w:eastAsia="zh-CN"/>
        </w:rPr>
      </w:pPr>
      <w:r>
        <w:rPr>
          <w:rFonts w:hint="eastAsia" w:ascii="仿宋" w:hAnsi="仿宋" w:eastAsia="仿宋" w:cs="仿宋"/>
          <w:b/>
          <w:sz w:val="28"/>
          <w:lang w:val="en-US" w:eastAsia="zh-CN"/>
        </w:rPr>
        <w:t>一、挂网需求</w:t>
      </w:r>
    </w:p>
    <w:p w14:paraId="28B4CDDA">
      <w:pPr>
        <w:ind w:firstLine="440" w:firstLineChars="200"/>
        <w:jc w:val="left"/>
        <w:textAlignment w:val="center"/>
        <w:rPr>
          <w:rFonts w:hint="eastAsia"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1.本项目所有标的均须提供挂网产品。（如响应的同一标的存在材质相同的多个型号，可提供其中一样作为样品）</w:t>
      </w:r>
    </w:p>
    <w:p w14:paraId="237CEBB7">
      <w:pPr>
        <w:ind w:firstLine="440" w:firstLineChars="200"/>
        <w:jc w:val="left"/>
        <w:textAlignment w:val="center"/>
        <w:rPr>
          <w:rFonts w:hint="eastAsia"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注：本项目中所指“挂网产品”，为“四川省药品和医用耗材招采管理系统”中已挂网产品（不含正在挂网和备案的产品）。</w:t>
      </w:r>
    </w:p>
    <w:p w14:paraId="2B953408">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outlineLvl w:val="2"/>
        <w:rPr>
          <w:rFonts w:hint="eastAsia" w:ascii="仿宋" w:hAnsi="仿宋" w:eastAsia="仿宋" w:cs="仿宋"/>
          <w:b/>
          <w:sz w:val="28"/>
          <w:lang w:val="en-US" w:eastAsia="zh-CN"/>
        </w:rPr>
      </w:pPr>
      <w:r>
        <w:rPr>
          <w:rFonts w:hint="eastAsia" w:ascii="仿宋" w:hAnsi="仿宋" w:eastAsia="仿宋" w:cs="仿宋"/>
          <w:b/>
          <w:sz w:val="28"/>
          <w:lang w:val="en-US" w:eastAsia="zh-CN"/>
        </w:rPr>
        <w:t>二、样品要求</w:t>
      </w:r>
    </w:p>
    <w:p w14:paraId="68465137">
      <w:pPr>
        <w:ind w:firstLine="440" w:firstLineChars="200"/>
        <w:jc w:val="left"/>
        <w:textAlignment w:val="center"/>
        <w:rPr>
          <w:rFonts w:hint="default"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1.必须提供样品，以供评审专家现场评审（如样品和标的产品有同一材质的，竞选人可提供承诺函证明标的产品与样品为同一材质，则无需提供所有标的产品作为样品，</w:t>
      </w:r>
      <w:r>
        <w:rPr>
          <w:rFonts w:hint="eastAsia" w:ascii="仿宋" w:hAnsi="仿宋" w:eastAsia="仿宋" w:cs="仿宋"/>
          <w:b/>
          <w:bCs/>
          <w:color w:val="000000"/>
          <w:kern w:val="0"/>
          <w:sz w:val="22"/>
          <w:szCs w:val="22"/>
          <w:highlight w:val="yellow"/>
          <w:u w:val="none"/>
          <w:lang w:val="en-US" w:eastAsia="zh-CN" w:bidi="ar"/>
        </w:rPr>
        <w:t>承诺函须备注同一材质的标的物序号</w:t>
      </w:r>
      <w:r>
        <w:rPr>
          <w:rFonts w:hint="eastAsia" w:ascii="仿宋" w:hAnsi="仿宋" w:eastAsia="仿宋" w:cs="仿宋"/>
          <w:b w:val="0"/>
          <w:bCs w:val="0"/>
          <w:color w:val="000000"/>
          <w:kern w:val="0"/>
          <w:sz w:val="22"/>
          <w:szCs w:val="22"/>
          <w:u w:val="none"/>
          <w:lang w:val="en-US" w:eastAsia="zh-CN" w:bidi="ar"/>
        </w:rPr>
        <w:t>）。</w:t>
      </w:r>
    </w:p>
    <w:p w14:paraId="50C37180">
      <w:pPr>
        <w:ind w:firstLine="440" w:firstLineChars="200"/>
        <w:jc w:val="left"/>
        <w:textAlignment w:val="center"/>
        <w:rPr>
          <w:rFonts w:hint="eastAsia"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2.提交的样品不符合实际需求或存在原理错误则视为无效响应。</w:t>
      </w:r>
    </w:p>
    <w:p w14:paraId="55EFE6D6">
      <w:pPr>
        <w:ind w:firstLine="440" w:firstLineChars="200"/>
        <w:jc w:val="left"/>
        <w:textAlignment w:val="center"/>
        <w:rPr>
          <w:rFonts w:hint="eastAsia"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3.本项目竞选人提供的样品，应与该竞选人响应文件保持一致（具体参考《医疗器械说明书和标签管理规定》）。</w:t>
      </w:r>
    </w:p>
    <w:p w14:paraId="3F388C17">
      <w:pPr>
        <w:ind w:firstLine="442" w:firstLineChars="200"/>
        <w:jc w:val="left"/>
        <w:textAlignment w:val="center"/>
        <w:rPr>
          <w:rFonts w:hint="default" w:ascii="仿宋" w:hAnsi="仿宋" w:eastAsia="仿宋" w:cs="仿宋"/>
          <w:b/>
          <w:bCs/>
          <w:color w:val="000000"/>
          <w:kern w:val="0"/>
          <w:sz w:val="22"/>
          <w:szCs w:val="22"/>
          <w:highlight w:val="none"/>
          <w:u w:val="none"/>
          <w:lang w:val="en-US" w:eastAsia="zh-CN" w:bidi="ar"/>
        </w:rPr>
      </w:pPr>
      <w:r>
        <w:rPr>
          <w:rFonts w:hint="eastAsia" w:ascii="仿宋" w:hAnsi="仿宋" w:eastAsia="仿宋" w:cs="仿宋"/>
          <w:b/>
          <w:bCs/>
          <w:color w:val="000000"/>
          <w:kern w:val="0"/>
          <w:sz w:val="22"/>
          <w:szCs w:val="22"/>
          <w:highlight w:val="none"/>
          <w:u w:val="none"/>
          <w:lang w:val="en-US" w:eastAsia="zh-CN" w:bidi="ar"/>
        </w:rPr>
        <w:t>注：样品包装需完整，样品评审时将由采购代理机构拍照留存，作为后期验收的依据。</w:t>
      </w:r>
    </w:p>
    <w:p w14:paraId="06ED6EFB">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outlineLvl w:val="2"/>
        <w:rPr>
          <w:rFonts w:hint="default" w:ascii="仿宋" w:hAnsi="仿宋" w:eastAsia="仿宋" w:cs="仿宋"/>
          <w:b/>
          <w:bCs/>
          <w:color w:val="000000"/>
          <w:sz w:val="24"/>
          <w:szCs w:val="24"/>
          <w:lang w:val="en-US" w:eastAsia="zh-CN"/>
        </w:rPr>
      </w:pPr>
      <w:r>
        <w:rPr>
          <w:rFonts w:hint="eastAsia" w:ascii="仿宋" w:hAnsi="仿宋" w:eastAsia="仿宋" w:cs="仿宋"/>
          <w:b/>
          <w:sz w:val="28"/>
          <w:lang w:val="en-US" w:eastAsia="zh-CN"/>
        </w:rPr>
        <w:t>三、商务</w:t>
      </w:r>
      <w:r>
        <w:rPr>
          <w:rFonts w:hint="eastAsia" w:ascii="仿宋" w:hAnsi="仿宋" w:eastAsia="仿宋" w:cs="仿宋"/>
          <w:b/>
          <w:sz w:val="28"/>
        </w:rPr>
        <w:t>要求</w:t>
      </w:r>
      <w:r>
        <w:rPr>
          <w:rFonts w:hint="eastAsia" w:ascii="仿宋" w:hAnsi="仿宋" w:eastAsia="仿宋" w:cs="仿宋"/>
          <w:b/>
          <w:bCs/>
          <w:color w:val="000000"/>
          <w:sz w:val="28"/>
          <w:szCs w:val="28"/>
          <w:lang w:val="en-US" w:eastAsia="zh-CN"/>
        </w:rPr>
        <w:t>：</w:t>
      </w:r>
    </w:p>
    <w:p w14:paraId="6D99D22B">
      <w:pPr>
        <w:keepNext w:val="0"/>
        <w:keepLines w:val="0"/>
        <w:pageBreakBefore w:val="0"/>
        <w:widowControl w:val="0"/>
        <w:kinsoku/>
        <w:wordWrap/>
        <w:overflowPunct/>
        <w:topLinePunct w:val="0"/>
        <w:autoSpaceDE/>
        <w:autoSpaceDN/>
        <w:bidi w:val="0"/>
        <w:adjustRightInd/>
        <w:snapToGrid/>
        <w:spacing w:line="240" w:lineRule="exact"/>
        <w:ind w:firstLine="420" w:firstLineChars="0"/>
        <w:textAlignment w:val="auto"/>
        <w:outlineLvl w:val="3"/>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1.交货期及地点</w:t>
      </w:r>
    </w:p>
    <w:p w14:paraId="3475B2EE">
      <w:pPr>
        <w:ind w:firstLine="440" w:firstLineChars="200"/>
        <w:jc w:val="left"/>
        <w:textAlignment w:val="center"/>
        <w:rPr>
          <w:rFonts w:hint="eastAsia" w:ascii="仿宋" w:hAnsi="仿宋" w:eastAsia="仿宋" w:cs="仿宋"/>
          <w:b w:val="0"/>
          <w:bCs w:val="0"/>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（1）交货期：</w:t>
      </w:r>
      <w:r>
        <w:rPr>
          <w:rFonts w:hint="eastAsia" w:ascii="仿宋" w:hAnsi="仿宋" w:eastAsia="仿宋" w:cs="仿宋"/>
          <w:color w:val="000000"/>
          <w:kern w:val="0"/>
          <w:sz w:val="22"/>
          <w:szCs w:val="22"/>
          <w:lang w:val="en-US" w:eastAsia="zh-CN" w:bidi="zh-CN"/>
        </w:rPr>
        <w:t>每次配送时间必须严格按照采购人配送通知执行，中选人应于收到通知后2小时内响应。急用产品的配送时间不应超过4小时，一般产品原则上的配送时间不应超过2个工作日。</w:t>
      </w:r>
    </w:p>
    <w:p w14:paraId="73CE81B3">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b w:val="0"/>
          <w:bCs w:val="0"/>
          <w:color w:val="000000"/>
          <w:kern w:val="0"/>
          <w:sz w:val="22"/>
          <w:szCs w:val="22"/>
          <w:u w:val="none"/>
          <w:lang w:val="en-US" w:eastAsia="zh-CN" w:bidi="ar"/>
        </w:rPr>
        <w:t>（2）交货地点：内江</w:t>
      </w:r>
      <w:r>
        <w:rPr>
          <w:rFonts w:hint="eastAsia" w:ascii="仿宋" w:hAnsi="仿宋" w:eastAsia="仿宋" w:cs="仿宋"/>
          <w:color w:val="000000"/>
          <w:kern w:val="0"/>
          <w:sz w:val="22"/>
          <w:szCs w:val="22"/>
          <w:u w:val="none"/>
          <w:lang w:val="en-US" w:eastAsia="zh-CN" w:bidi="ar"/>
        </w:rPr>
        <w:t>市第一人民医院指定地点。</w:t>
      </w:r>
    </w:p>
    <w:p w14:paraId="34E0E60C">
      <w:pPr>
        <w:pStyle w:val="5"/>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2.付款方法和条件</w:t>
      </w:r>
    </w:p>
    <w:p w14:paraId="4541166C">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（1）结算方式：双方同意以甲方财务制度规定的付款时间及付款要求进行结算，乙方已完全了解并清楚甲方的财务制度，乙方对甲方财务制度规定的付款要求及付款时间不持异议。</w:t>
      </w:r>
    </w:p>
    <w:p w14:paraId="4A78E1DE">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（2）成交价格包含成本、运输、包装、培训、配送、伴随服务、税费及其他附加费用。</w:t>
      </w:r>
    </w:p>
    <w:p w14:paraId="3AC09FDA">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（3）若本项目中限定了标的数量或金额，中标人应严格按照响应内容执行，采购人有权拒绝支付超出响应范围任何的内容。</w:t>
      </w:r>
    </w:p>
    <w:p w14:paraId="6A703E3B">
      <w:pPr>
        <w:pStyle w:val="5"/>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3.医用耗材质量保证</w:t>
      </w:r>
    </w:p>
    <w:p w14:paraId="6B98A6EC">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（1）成交供应商须提供原厂生产的未曾使用过的、全新的合格的货品（含配套配件等），表面无划伤、无破损痕迹，且权属清楚，不得侵害他人的合法权利；</w:t>
      </w:r>
    </w:p>
    <w:p w14:paraId="34BB3205">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2）成交供应商所提供货品须符合或优于国家（行业）标准、本项目招标文件要求及竞选文件响应内容。当竞选文件响应内容与招标文件要求不一致时，以竞选文件响应内容为准。当竞选文件响应内容与国家标准、行业标准（若有）不一致时，以较高标准为准；</w:t>
      </w:r>
    </w:p>
    <w:p w14:paraId="549FB45D">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（3）成交供应商提供货品的设计技术专利、外形专利等均应符合我国有关法律法规及行业标准，凡因以上问题与第三方发生的任何纠纷均与采购人无关；</w:t>
      </w:r>
    </w:p>
    <w:p w14:paraId="14348F00">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（4）成交供应商保证其提供货品的安全可靠性。在正常使用下不应对使用者造成任何人身伤害，如因产品质量或标示不明确而对使用者造成损失的，由成交供应商承担相应责任；</w:t>
      </w:r>
    </w:p>
    <w:p w14:paraId="7F39A99E">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成交供应商应保证所供耗材原产地真实，医用耗材是全新的、未使用过的，质量符合国家标准（在无国家标准时，符合行业标准），不得以假充真，以次充好，确保临床医疗安全。如出现质量问题，成交供应商负责按照采购人要求办理退货并承担因耗材质量导致的经济和法律责任。送货时，需向采购人提供以下资料：产品送货单、产品合格证明文件（检验报告单）、进口产品需出具中文标签、进口产品需提供中华人民共和国海关进口货物报关单；</w:t>
      </w:r>
    </w:p>
    <w:p w14:paraId="6CF81F79">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（6）成交供应商保证所供耗材有效期不低于1年，自通过最终验收之日起，确保采购人在使用耗材的过程中安全、有效。</w:t>
      </w:r>
    </w:p>
    <w:p w14:paraId="14934CF9">
      <w:pPr>
        <w:pStyle w:val="5"/>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4.验收</w:t>
      </w:r>
    </w:p>
    <w:p w14:paraId="6D06B042">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按照《财政部关于进一步加强政府采购需求和履约验收管理的指导意见》（财库〔2016〕205号）的要求以及采购人招标文件的质量要求和技术指标、中选人的投标文件及承诺（若有）、国家（行业）标准、采购合同约定标准进行验收；</w:t>
      </w:r>
    </w:p>
    <w:p w14:paraId="10B1B029">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验收时如发现所配送的货物有短装、次品、损坏或其他不符合验收标准的，采购人应做出详尽的现场记录，此现场记录或备忘录可用作补充、缺失和更换损坏部件的有效证据，由此产生的时间延误与有关费用由中选人承担，验收期限相应顺延；</w:t>
      </w:r>
    </w:p>
    <w:p w14:paraId="0F38B49F">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若所配送货物不符合验收标准，中选人经过2次调换后仍不能达到验收质量标准，则视为验收不合格，采购人有权全部（或部分）退货或解除合同。接到采购人退货通知，中选人除应及时运走采购人退还的货物外（若涉及费用或损失均由中选人自行承担），还应向采购人承担相应的违约责任。</w:t>
      </w:r>
    </w:p>
    <w:p w14:paraId="0BC64627">
      <w:pPr>
        <w:pStyle w:val="5"/>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（4）其他未尽事宜严格按照《财政部关于进一步加强政府采购需求和履约验收管理的指导意见》（财库〔2016〕205号）的要求进行。</w:t>
      </w:r>
    </w:p>
    <w:p w14:paraId="770088CF">
      <w:pPr>
        <w:pStyle w:val="5"/>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5.售后服务</w:t>
      </w:r>
    </w:p>
    <w:p w14:paraId="77C6F11B">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要求成交供应商必须严格按照招标文件要求和竞选文件中的承诺提供配送服务。如果配送的医用耗材规格、包装等信息与中标产品的规格、包装等信息不一致并不同意更换的，或配送的医用耗材和中标产品不一致的，采购人有权终止合同；</w:t>
      </w:r>
    </w:p>
    <w:p w14:paraId="5C198B90">
      <w:pPr>
        <w:ind w:firstLine="442" w:firstLineChars="200"/>
        <w:jc w:val="left"/>
        <w:textAlignment w:val="center"/>
        <w:rPr>
          <w:rFonts w:hint="eastAsia" w:ascii="仿宋" w:hAnsi="仿宋" w:eastAsia="仿宋" w:cs="仿宋"/>
          <w:b/>
          <w:bCs/>
          <w:color w:val="000000"/>
          <w:kern w:val="0"/>
          <w:sz w:val="22"/>
          <w:szCs w:val="22"/>
          <w:u w:val="none"/>
          <w:lang w:val="en-US" w:eastAsia="zh-CN" w:bidi="ar"/>
        </w:rPr>
      </w:pPr>
      <w:r>
        <w:rPr>
          <w:rFonts w:hint="eastAsia" w:ascii="仿宋" w:hAnsi="仿宋" w:eastAsia="仿宋" w:cs="仿宋"/>
          <w:b/>
          <w:bCs/>
          <w:color w:val="000000"/>
          <w:kern w:val="0"/>
          <w:sz w:val="22"/>
          <w:szCs w:val="22"/>
          <w:u w:val="none"/>
          <w:lang w:val="en-US" w:eastAsia="zh-CN" w:bidi="ar"/>
        </w:rPr>
        <w:t>（2）要求成交供应商指派专人负责与采购人联系售后服务事宜；在竞选文件中列明售后联系人及联系电话；</w:t>
      </w:r>
    </w:p>
    <w:p w14:paraId="1285AC17">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3）要求成交供应商须按采购人要求分期分批按时交货，每次配送的时间和数量必须严格按照采购人发送的配送通知执行。要求急需使用的产品4小时内送达，一般情况48小时内送达，若因采购人原因时间变更，以采购人通知时间为准，节假日照常配送，并承诺无条件退换破损和近效期产品；</w:t>
      </w:r>
    </w:p>
    <w:p w14:paraId="281C08B6">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（4）耗材临近失效期，采购人提前三个月向成交供应商提出更换，成交供应商须在耗材失效前一个月更换完毕，不得以任何理由进行推诿；</w:t>
      </w:r>
    </w:p>
    <w:p w14:paraId="0E4C0D54">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（5）成交供应商必须随货提供其具备医疗器械经营企业的有关合法有效的手续（包括但不限于）：</w:t>
      </w:r>
    </w:p>
    <w:p w14:paraId="2A959E49">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5.1产品所涉及逐级授权经销商的医疗器械生产（经营）许可证或生产（经营）企业备案表；</w:t>
      </w:r>
    </w:p>
    <w:p w14:paraId="5EF1D3E3">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5.2医疗器械产品注册证或备案凭证；</w:t>
      </w:r>
    </w:p>
    <w:p w14:paraId="1A12D84A">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5.3医疗器械生产企业许可证；</w:t>
      </w:r>
    </w:p>
    <w:p w14:paraId="67939A24">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5.4经销商获得的委托授权书（逐级）；</w:t>
      </w:r>
    </w:p>
    <w:p w14:paraId="0ADEB28D">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5.5产品所涉及逐级授权经销商的企业法人营业执照。</w:t>
      </w:r>
    </w:p>
    <w:p w14:paraId="10BB6003">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5.6采购人要求提供的相关资料。</w:t>
      </w:r>
    </w:p>
    <w:p w14:paraId="2CA79D9E">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6）合同有效期内，项目清单中产品凡是纳入网上集中采购医用耗材的，应在公示后10个工作日内以书面形式告知采购人，应按照四川省医疗保障局下发的《四川省医药机构医用耗材集中采购实施方案》要求进行挂网采购，且挂网采购价格不应高于联动参考价、该产品上月末全省医药机构最低采购价或采购成交价中的任一价格。经甲乙双方商议后，若因乙方或厂家原因无法按上述要求执行的，则甲方可以解除与乙方在成交合同中对该产品的采购相关约定。</w:t>
      </w:r>
    </w:p>
    <w:p w14:paraId="1C27315E">
      <w:pPr>
        <w:pStyle w:val="5"/>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6.包装和运输 </w:t>
      </w:r>
    </w:p>
    <w:p w14:paraId="2E1EEDB4">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 xml:space="preserve">（1）成交供应商须严格按照《商品包装政府采购需求标准(试行)》、《快递包装政府采购需求标准(试行)》(财办库〔2020〕123 号)的要求进行产品及相关快递服务的包装； </w:t>
      </w:r>
    </w:p>
    <w:p w14:paraId="0A0E9EBB">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 xml:space="preserve">（2）竞选人应当按照约定的方式交付标的物。对于包装方式没有约定或者约定不明确的，应当按照通用的方式包装；没有通用方式的，应当采取足以保护标的物且有利于节约资源，保护生态环境的包装方式； </w:t>
      </w:r>
    </w:p>
    <w:p w14:paraId="45A5BB58">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（3）本次采购的标的物需要运输，竞选人在合同约定的时间内将标的物运输至合同约定地点。</w:t>
      </w:r>
    </w:p>
    <w:p w14:paraId="64BC1C09">
      <w:pPr>
        <w:pStyle w:val="5"/>
        <w:jc w:val="left"/>
        <w:outlineLvl w:val="1"/>
        <w:rPr>
          <w:rFonts w:hint="eastAsia" w:ascii="仿宋" w:hAnsi="仿宋" w:eastAsia="仿宋" w:cs="仿宋"/>
        </w:rPr>
      </w:pPr>
      <w:r>
        <w:rPr>
          <w:rFonts w:hint="eastAsia" w:ascii="仿宋" w:hAnsi="仿宋" w:eastAsia="仿宋" w:cs="仿宋"/>
          <w:b/>
          <w:sz w:val="28"/>
        </w:rPr>
        <w:t>3.4.其他要求</w:t>
      </w:r>
    </w:p>
    <w:p w14:paraId="061D9220">
      <w:pPr>
        <w:pStyle w:val="5"/>
        <w:ind w:firstLine="480" w:firstLineChars="0"/>
        <w:jc w:val="left"/>
        <w:outlineLvl w:val="2"/>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w:t>
      </w:r>
      <w:r>
        <w:rPr>
          <w:rFonts w:hint="default" w:ascii="仿宋" w:hAnsi="仿宋" w:eastAsia="仿宋" w:cs="仿宋"/>
          <w:b/>
          <w:bCs/>
          <w:sz w:val="24"/>
          <w:szCs w:val="24"/>
          <w:lang w:val="en-US" w:eastAsia="zh-CN"/>
        </w:rPr>
        <w:t>违约责任与解决争议的方法：</w:t>
      </w:r>
    </w:p>
    <w:p w14:paraId="293E1368">
      <w:pPr>
        <w:pStyle w:val="5"/>
        <w:ind w:firstLine="480" w:firstLineChars="0"/>
        <w:jc w:val="left"/>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1.1违约责任</w:t>
      </w:r>
    </w:p>
    <w:p w14:paraId="01811062">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（1）乙方逾期15日内不能提供甲方所需医用耗材的，应向甲方每日支付该批次货款千分之三的违约金。</w:t>
      </w:r>
    </w:p>
    <w:p w14:paraId="7D762A55">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（2）乙方逾期15日及以上不能交付以上产品的，视同不能供货，须向甲方支付该批次货款的10%的违约金，同时甲方可以单方面解除本合同。</w:t>
      </w:r>
    </w:p>
    <w:p w14:paraId="7DFEF9E9">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（3）若因乙方原因造成甲方被监管部门通报三次及以上的或者造成甲方违规采购，甲方有权单方面解除本合同。同时</w:t>
      </w:r>
      <w:r>
        <w:rPr>
          <w:rFonts w:hint="default" w:ascii="仿宋" w:hAnsi="仿宋" w:eastAsia="仿宋" w:cs="仿宋"/>
          <w:color w:val="000000"/>
          <w:kern w:val="0"/>
          <w:sz w:val="22"/>
          <w:szCs w:val="22"/>
          <w:u w:val="none"/>
          <w:lang w:val="en-US" w:eastAsia="zh-CN" w:bidi="ar"/>
        </w:rPr>
        <w:t>，</w:t>
      </w:r>
      <w:r>
        <w:rPr>
          <w:rFonts w:hint="eastAsia" w:ascii="仿宋" w:hAnsi="仿宋" w:eastAsia="仿宋" w:cs="仿宋"/>
          <w:color w:val="000000"/>
          <w:kern w:val="0"/>
          <w:sz w:val="22"/>
          <w:szCs w:val="22"/>
          <w:u w:val="none"/>
          <w:lang w:val="en-US" w:eastAsia="zh-CN" w:bidi="ar"/>
        </w:rPr>
        <w:t>甲方有权要求乙方支付该批货物价款20%的违约金。</w:t>
      </w:r>
    </w:p>
    <w:p w14:paraId="15084ED0">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4）乙方销售的产品若发生严重医疗不良事件或被国家法定检测机构检测为不合格产品，视为乙方违约导致不能实现本合同目的，甲方有权单方面解除本合同，并要求乙方限期收回不合格产品，并要求乙方需承担合同价款20%的违约金，违约金不足以弥补甲方损失的，乙方还应当承补足。即使产品已经验收入库（或安装调试完毕）后，甲方才发现产品为不合格产品的，也视为乙方违约，乙方应当承担本条约定的责任。同时甲方有权退回库存产品。</w:t>
      </w:r>
    </w:p>
    <w:p w14:paraId="505A1837">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（5）若根据法律规定或本协议约定产生甲方退、换货或拒绝收货情形，由乙方承担退换货产生的各项税、费或其他支出。</w:t>
      </w:r>
    </w:p>
    <w:p w14:paraId="035D2492">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（6）乙方不能保证及时供货，除应当向甲方承担违约责任外，甲方仍有权单方面解除本合同。</w:t>
      </w:r>
    </w:p>
    <w:p w14:paraId="0FDEB9DC">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（7）因乙方提供的产品不合格造成甲方或第三人人身损害或财产损失的，由乙方承担赔偿责任。</w:t>
      </w:r>
    </w:p>
    <w:p w14:paraId="414E8058">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8）若因乙方原因造成甲方挂网执行存在问题以及线上支付不及时、造成甲方未挂网采购的或者存在其他问题的，乙方应承担违约责任，且甲方有权要求乙方支付该批货物价款20%的违约金，甲方有权单方面解除合同。</w:t>
      </w:r>
    </w:p>
    <w:p w14:paraId="12DC8B8A">
      <w:pPr>
        <w:pStyle w:val="5"/>
        <w:ind w:firstLine="480" w:firstLineChars="0"/>
        <w:jc w:val="left"/>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1.2解决合同纠纷的方式</w:t>
      </w:r>
    </w:p>
    <w:p w14:paraId="00340AD3">
      <w:pPr>
        <w:ind w:firstLine="440" w:firstLineChars="20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（1）因货物的质量问题发生的争议，由法定质量鉴定机构或其认可的质量鉴定机构进行质量鉴定。货物符合标准的，鉴定费由甲方承担；货物不符合质量标准的，鉴定费由乙方承担。</w:t>
      </w:r>
    </w:p>
    <w:p w14:paraId="4BD56D0D">
      <w:pPr>
        <w:ind w:firstLine="440" w:firstLineChars="200"/>
        <w:jc w:val="left"/>
        <w:textAlignment w:val="center"/>
        <w:rPr>
          <w:rFonts w:hint="default"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（2）合同履行期间，若双方发生争议，可协商或由有关部门调解解决，协商或调解不成的，可向甲方所在地人民法院依法提起诉讼。</w:t>
      </w:r>
    </w:p>
    <w:p w14:paraId="52E8108D">
      <w:pPr>
        <w:pStyle w:val="5"/>
        <w:ind w:firstLine="480"/>
        <w:jc w:val="left"/>
        <w:rPr>
          <w:rFonts w:hint="default" w:ascii="Times New Roman" w:hAnsi="Times New Roman" w:eastAsia="仿宋" w:cs="Times New Roman"/>
          <w:color w:val="auto"/>
          <w:sz w:val="24"/>
          <w:szCs w:val="24"/>
          <w:highlight w:val="yellow"/>
          <w:shd w:val="clear" w:color="auto" w:fill="auto"/>
          <w:lang w:val="en-US" w:eastAsia="zh-CN"/>
        </w:rPr>
      </w:pPr>
      <w:r>
        <w:rPr>
          <w:rFonts w:hint="eastAsia" w:ascii="仿宋" w:hAnsi="仿宋" w:eastAsia="仿宋" w:cs="仿宋"/>
          <w:b/>
          <w:bCs/>
          <w:sz w:val="24"/>
          <w:szCs w:val="24"/>
          <w:lang w:val="en-US" w:eastAsia="zh-CN"/>
        </w:rPr>
        <w:t>2.</w:t>
      </w:r>
      <w:r>
        <w:rPr>
          <w:rFonts w:hint="default" w:ascii="Times New Roman" w:hAnsi="Times New Roman" w:eastAsia="仿宋" w:cs="Times New Roman"/>
          <w:b/>
          <w:bCs/>
          <w:color w:val="auto"/>
          <w:sz w:val="24"/>
          <w:szCs w:val="24"/>
          <w:highlight w:val="none"/>
          <w:shd w:val="clear" w:color="auto" w:fill="auto"/>
        </w:rPr>
        <w:t>履行期限</w:t>
      </w:r>
      <w:r>
        <w:rPr>
          <w:rFonts w:hint="eastAsia" w:ascii="Times New Roman" w:hAnsi="Times New Roman" w:eastAsia="仿宋" w:cs="Times New Roman"/>
          <w:b/>
          <w:bCs/>
          <w:color w:val="auto"/>
          <w:sz w:val="24"/>
          <w:szCs w:val="24"/>
          <w:highlight w:val="none"/>
          <w:shd w:val="clear" w:color="auto" w:fill="auto"/>
          <w:lang w:eastAsia="zh-CN"/>
        </w:rPr>
        <w:t>：</w:t>
      </w:r>
      <w:r>
        <w:rPr>
          <w:rFonts w:hint="eastAsia" w:ascii="仿宋" w:hAnsi="仿宋" w:eastAsia="仿宋" w:cs="仿宋"/>
          <w:color w:val="000000"/>
          <w:kern w:val="0"/>
          <w:sz w:val="22"/>
          <w:szCs w:val="22"/>
          <w:highlight w:val="none"/>
          <w:u w:val="none"/>
          <w:lang w:val="en-US" w:eastAsia="zh-CN" w:bidi="ar"/>
        </w:rPr>
        <w:t>3年。</w:t>
      </w:r>
    </w:p>
    <w:p w14:paraId="4183F63F">
      <w:pPr>
        <w:pStyle w:val="5"/>
        <w:ind w:firstLine="480"/>
        <w:jc w:val="left"/>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3.支付方式：</w:t>
      </w:r>
      <w:r>
        <w:rPr>
          <w:rFonts w:hint="eastAsia" w:ascii="仿宋" w:hAnsi="仿宋" w:eastAsia="仿宋" w:cs="仿宋"/>
          <w:color w:val="000000"/>
          <w:kern w:val="0"/>
          <w:sz w:val="22"/>
          <w:szCs w:val="22"/>
          <w:u w:val="none"/>
          <w:lang w:val="en-US" w:eastAsia="zh-CN" w:bidi="ar"/>
        </w:rPr>
        <w:t>双方协商确定。</w:t>
      </w:r>
    </w:p>
    <w:p w14:paraId="6322B39B">
      <w:pPr>
        <w:pStyle w:val="5"/>
        <w:ind w:firstLine="480"/>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4.</w:t>
      </w:r>
      <w:r>
        <w:rPr>
          <w:rFonts w:hint="default" w:ascii="仿宋" w:hAnsi="仿宋" w:eastAsia="仿宋" w:cs="仿宋"/>
          <w:b/>
          <w:bCs/>
          <w:sz w:val="24"/>
          <w:szCs w:val="24"/>
          <w:lang w:val="en-US" w:eastAsia="zh-CN"/>
        </w:rPr>
        <w:t>履约验收程序</w:t>
      </w:r>
      <w:r>
        <w:rPr>
          <w:rFonts w:hint="eastAsia" w:ascii="仿宋" w:hAnsi="仿宋" w:eastAsia="仿宋" w:cs="仿宋"/>
          <w:b/>
          <w:bCs/>
          <w:sz w:val="24"/>
          <w:szCs w:val="24"/>
          <w:lang w:val="en-US" w:eastAsia="zh-CN"/>
        </w:rPr>
        <w:t>：</w:t>
      </w:r>
      <w:r>
        <w:rPr>
          <w:rFonts w:hint="eastAsia" w:ascii="仿宋" w:hAnsi="仿宋" w:eastAsia="仿宋" w:cs="仿宋"/>
          <w:color w:val="000000"/>
          <w:kern w:val="0"/>
          <w:sz w:val="22"/>
          <w:szCs w:val="22"/>
          <w:u w:val="none"/>
          <w:lang w:val="en-US" w:eastAsia="zh-CN" w:bidi="ar"/>
        </w:rPr>
        <w:t>分批次验收。</w:t>
      </w:r>
    </w:p>
    <w:p w14:paraId="5D174384">
      <w:r>
        <w:rPr>
          <w:rFonts w:hint="eastAsia" w:ascii="仿宋" w:hAnsi="仿宋" w:eastAsia="仿宋" w:cs="仿宋"/>
          <w:b/>
          <w:bCs/>
          <w:sz w:val="24"/>
          <w:szCs w:val="24"/>
          <w:lang w:val="en-US" w:eastAsia="zh-CN"/>
        </w:rPr>
        <w:t>5.</w:t>
      </w:r>
      <w:r>
        <w:rPr>
          <w:rFonts w:hint="default" w:ascii="仿宋" w:hAnsi="仿宋" w:eastAsia="仿宋" w:cs="仿宋"/>
          <w:b/>
          <w:bCs/>
          <w:sz w:val="24"/>
          <w:szCs w:val="24"/>
          <w:lang w:val="en-US" w:eastAsia="zh-CN"/>
        </w:rPr>
        <w:t>履约验收时间：</w:t>
      </w:r>
      <w:r>
        <w:rPr>
          <w:rFonts w:hint="default" w:ascii="仿宋" w:hAnsi="仿宋" w:eastAsia="仿宋" w:cs="仿宋"/>
          <w:color w:val="000000"/>
          <w:kern w:val="0"/>
          <w:sz w:val="22"/>
          <w:szCs w:val="22"/>
          <w:u w:val="none"/>
          <w:lang w:val="en-US" w:eastAsia="zh-CN" w:bidi="ar"/>
        </w:rPr>
        <w:t>合同期限内，根据</w:t>
      </w:r>
      <w:r>
        <w:rPr>
          <w:rFonts w:hint="eastAsia" w:ascii="仿宋" w:hAnsi="仿宋" w:eastAsia="仿宋" w:cs="仿宋"/>
          <w:color w:val="000000"/>
          <w:kern w:val="0"/>
          <w:sz w:val="22"/>
          <w:szCs w:val="22"/>
          <w:u w:val="none"/>
          <w:lang w:val="en-US" w:eastAsia="zh-CN" w:bidi="ar"/>
        </w:rPr>
        <w:t>采购人</w:t>
      </w:r>
      <w:r>
        <w:rPr>
          <w:rFonts w:hint="default" w:ascii="仿宋" w:hAnsi="仿宋" w:eastAsia="仿宋" w:cs="仿宋"/>
          <w:color w:val="000000"/>
          <w:kern w:val="0"/>
          <w:sz w:val="22"/>
          <w:szCs w:val="22"/>
          <w:u w:val="none"/>
          <w:lang w:val="en-US" w:eastAsia="zh-CN" w:bidi="ar"/>
        </w:rPr>
        <w:t>要求分批次送货，完成送货、验收入库视为验收完成</w:t>
      </w:r>
      <w:r>
        <w:rPr>
          <w:rFonts w:hint="eastAsia" w:ascii="仿宋" w:hAnsi="仿宋" w:eastAsia="仿宋" w:cs="仿宋"/>
          <w:color w:val="000000"/>
          <w:kern w:val="0"/>
          <w:sz w:val="22"/>
          <w:szCs w:val="22"/>
          <w:u w:val="none"/>
          <w:lang w:val="en-US" w:eastAsia="zh-CN" w:bidi="ar"/>
        </w:rPr>
        <w:t>。</w:t>
      </w:r>
      <w:r>
        <w:rPr>
          <w:rFonts w:hint="eastAsia" w:ascii="仿宋" w:hAnsi="仿宋" w:eastAsia="仿宋" w:cs="仿宋"/>
          <w:color w:val="000000"/>
          <w:kern w:val="0"/>
          <w:sz w:val="22"/>
          <w:szCs w:val="22"/>
          <w:u w:val="none"/>
          <w:lang w:val="en-US" w:eastAsia="zh-CN" w:bidi="ar"/>
        </w:rPr>
        <w:br w:type="textWrapping"/>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F66F5"/>
    <w:rsid w:val="108B406B"/>
    <w:rsid w:val="14855CC2"/>
    <w:rsid w:val="17E8357A"/>
    <w:rsid w:val="1ACE595C"/>
    <w:rsid w:val="2D666B35"/>
    <w:rsid w:val="312E4E5B"/>
    <w:rsid w:val="368372FD"/>
    <w:rsid w:val="3E441D93"/>
    <w:rsid w:val="5D2D4643"/>
    <w:rsid w:val="6B31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4057</Words>
  <Characters>4315</Characters>
  <Lines>0</Lines>
  <Paragraphs>0</Paragraphs>
  <TotalTime>0</TotalTime>
  <ScaleCrop>false</ScaleCrop>
  <LinksUpToDate>false</LinksUpToDate>
  <CharactersWithSpaces>4322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kimi</cp:lastModifiedBy>
  <dcterms:modified xsi:type="dcterms:W3CDTF">2025-12-03T00:35:51Z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eyJoZGlkIjoiNGNhMWE3NTkxNzZmNGI1MDVkZjYwMjhiNGQ2YjQxMDkiLCJ1c2VySWQiOiI0ODI5Njk1NDgifQ==</vt:lpwstr>
  </property>
  <property fmtid="{D5CDD505-2E9C-101B-9397-08002B2CF9AE}" pid="4" name="ICV">
    <vt:lpwstr>C5B7C8CBB9774CFEB3B6A5951A74B4A9_12</vt:lpwstr>
  </property>
</Properties>
</file>