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AFBC">
      <w:pPr>
        <w:pStyle w:val="5"/>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2A709DEE">
      <w:pPr>
        <w:pStyle w:val="5"/>
        <w:ind w:firstLine="480"/>
        <w:jc w:val="left"/>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4F283D2A">
      <w:pPr>
        <w:pStyle w:val="5"/>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16A38033">
      <w:pPr>
        <w:pStyle w:val="5"/>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p w14:paraId="767152DC">
      <w:pPr>
        <w:pStyle w:val="5"/>
        <w:ind w:firstLine="48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本项目提供的产品，必须为“四川省药品和医用耗材招采管理系统”中已挂网产品（不含正在挂网和备案的产品）。</w:t>
      </w:r>
    </w:p>
    <w:tbl>
      <w:tblPr>
        <w:tblStyle w:val="2"/>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0"/>
        <w:gridCol w:w="631"/>
        <w:gridCol w:w="2450"/>
        <w:gridCol w:w="1656"/>
        <w:gridCol w:w="1656"/>
        <w:gridCol w:w="1656"/>
      </w:tblGrid>
      <w:tr w14:paraId="1E13F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jc w:val="center"/>
        </w:trPr>
        <w:tc>
          <w:tcPr>
            <w:tcW w:w="276" w:type="pct"/>
            <w:vAlign w:val="center"/>
          </w:tcPr>
          <w:p w14:paraId="043503FB">
            <w:pPr>
              <w:pStyle w:val="5"/>
              <w:jc w:val="center"/>
              <w:rPr>
                <w:rFonts w:hint="eastAsia" w:ascii="仿宋" w:hAnsi="仿宋" w:eastAsia="仿宋" w:cs="仿宋"/>
                <w:lang w:val="en-US" w:eastAsia="zh-CN"/>
              </w:rPr>
            </w:pPr>
            <w:r>
              <w:rPr>
                <w:rFonts w:hint="eastAsia" w:ascii="仿宋" w:hAnsi="仿宋" w:eastAsia="仿宋" w:cs="仿宋"/>
                <w:lang w:val="en-US" w:eastAsia="zh-CN"/>
              </w:rPr>
              <w:t>包号</w:t>
            </w:r>
          </w:p>
        </w:tc>
        <w:tc>
          <w:tcPr>
            <w:tcW w:w="370" w:type="pct"/>
            <w:vAlign w:val="center"/>
          </w:tcPr>
          <w:p w14:paraId="02776F35">
            <w:pPr>
              <w:pStyle w:val="5"/>
              <w:jc w:val="center"/>
              <w:rPr>
                <w:rFonts w:hint="eastAsia" w:ascii="仿宋" w:hAnsi="仿宋" w:eastAsia="仿宋" w:cs="仿宋"/>
                <w:lang w:val="en-US" w:eastAsia="zh-CN"/>
              </w:rPr>
            </w:pPr>
            <w:r>
              <w:rPr>
                <w:rFonts w:hint="eastAsia" w:ascii="仿宋" w:hAnsi="仿宋" w:eastAsia="仿宋" w:cs="仿宋"/>
                <w:lang w:val="en-US" w:eastAsia="zh-CN"/>
              </w:rPr>
              <w:t>编号</w:t>
            </w:r>
          </w:p>
        </w:tc>
        <w:tc>
          <w:tcPr>
            <w:tcW w:w="1437" w:type="pct"/>
            <w:vAlign w:val="center"/>
          </w:tcPr>
          <w:p w14:paraId="590E2EEF">
            <w:pPr>
              <w:pStyle w:val="5"/>
              <w:jc w:val="center"/>
              <w:rPr>
                <w:rFonts w:hint="eastAsia" w:ascii="仿宋" w:hAnsi="仿宋" w:eastAsia="仿宋" w:cs="仿宋"/>
                <w:lang w:val="en-US" w:eastAsia="zh-CN"/>
              </w:rPr>
            </w:pPr>
            <w:r>
              <w:rPr>
                <w:rFonts w:hint="eastAsia" w:ascii="仿宋" w:hAnsi="仿宋" w:eastAsia="仿宋" w:cs="仿宋"/>
                <w:lang w:val="en-US" w:eastAsia="zh-CN"/>
              </w:rPr>
              <w:t>标的名称</w:t>
            </w:r>
          </w:p>
        </w:tc>
        <w:tc>
          <w:tcPr>
            <w:tcW w:w="971" w:type="pct"/>
            <w:vAlign w:val="center"/>
          </w:tcPr>
          <w:p w14:paraId="35F456D3">
            <w:pPr>
              <w:pStyle w:val="5"/>
              <w:jc w:val="center"/>
              <w:rPr>
                <w:rFonts w:hint="eastAsia" w:ascii="仿宋" w:hAnsi="仿宋" w:eastAsia="仿宋" w:cs="仿宋"/>
                <w:lang w:val="en-US" w:eastAsia="zh-CN"/>
              </w:rPr>
            </w:pPr>
            <w:r>
              <w:rPr>
                <w:rFonts w:hint="eastAsia" w:ascii="仿宋" w:hAnsi="仿宋" w:eastAsia="仿宋" w:cs="仿宋"/>
                <w:lang w:val="en-US" w:eastAsia="zh-CN"/>
              </w:rPr>
              <w:t>★单价（元）</w:t>
            </w:r>
          </w:p>
        </w:tc>
        <w:tc>
          <w:tcPr>
            <w:tcW w:w="971" w:type="pct"/>
            <w:vAlign w:val="center"/>
          </w:tcPr>
          <w:p w14:paraId="284264CB">
            <w:pPr>
              <w:pStyle w:val="5"/>
              <w:jc w:val="center"/>
              <w:rPr>
                <w:rFonts w:hint="eastAsia" w:ascii="仿宋" w:hAnsi="仿宋" w:eastAsia="仿宋" w:cs="仿宋"/>
                <w:lang w:val="en-US" w:eastAsia="zh-CN"/>
              </w:rPr>
            </w:pPr>
            <w:r>
              <w:rPr>
                <w:rFonts w:hint="eastAsia" w:ascii="仿宋" w:hAnsi="仿宋" w:eastAsia="仿宋" w:cs="仿宋"/>
                <w:lang w:val="en-US" w:eastAsia="zh-CN"/>
              </w:rPr>
              <w:t>★计量单位</w:t>
            </w:r>
          </w:p>
        </w:tc>
        <w:tc>
          <w:tcPr>
            <w:tcW w:w="971" w:type="pct"/>
            <w:vAlign w:val="center"/>
          </w:tcPr>
          <w:p w14:paraId="23C27233">
            <w:pPr>
              <w:pStyle w:val="5"/>
              <w:jc w:val="center"/>
              <w:rPr>
                <w:rFonts w:hint="eastAsia" w:ascii="仿宋" w:hAnsi="仿宋" w:eastAsia="仿宋" w:cs="仿宋"/>
                <w:lang w:val="en-US" w:eastAsia="zh-CN"/>
              </w:rPr>
            </w:pPr>
            <w:r>
              <w:rPr>
                <w:rFonts w:hint="eastAsia" w:ascii="仿宋" w:hAnsi="仿宋" w:eastAsia="仿宋" w:cs="仿宋"/>
                <w:lang w:val="en-US" w:eastAsia="zh-CN"/>
              </w:rPr>
              <w:t>预算金额/最高限价（每年）（元）</w:t>
            </w:r>
          </w:p>
        </w:tc>
      </w:tr>
      <w:tr w14:paraId="70571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3" w:hRule="atLeast"/>
          <w:jc w:val="center"/>
        </w:trPr>
        <w:tc>
          <w:tcPr>
            <w:tcW w:w="276" w:type="pct"/>
            <w:vAlign w:val="center"/>
          </w:tcPr>
          <w:p w14:paraId="777B4EB8">
            <w:pPr>
              <w:pStyle w:val="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70" w:type="pct"/>
            <w:vAlign w:val="center"/>
          </w:tcPr>
          <w:p w14:paraId="61752A9D">
            <w:pPr>
              <w:pStyle w:val="5"/>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437" w:type="pct"/>
            <w:vAlign w:val="center"/>
          </w:tcPr>
          <w:p w14:paraId="7282F07E">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尿失禁悬吊带</w:t>
            </w:r>
          </w:p>
        </w:tc>
        <w:tc>
          <w:tcPr>
            <w:tcW w:w="971" w:type="pct"/>
            <w:vAlign w:val="center"/>
          </w:tcPr>
          <w:p w14:paraId="5341CB04">
            <w:pPr>
              <w:keepNext w:val="0"/>
              <w:keepLines w:val="0"/>
              <w:widowControl/>
              <w:suppressLineNumbers w:val="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9000</w:t>
            </w:r>
          </w:p>
        </w:tc>
        <w:tc>
          <w:tcPr>
            <w:tcW w:w="971" w:type="pct"/>
            <w:vAlign w:val="center"/>
          </w:tcPr>
          <w:p w14:paraId="1BAF7D61">
            <w:pPr>
              <w:spacing w:line="400" w:lineRule="exact"/>
              <w:jc w:val="center"/>
              <w:rPr>
                <w:rFonts w:hint="eastAsia" w:ascii="仿宋" w:hAnsi="仿宋" w:eastAsia="仿宋" w:cs="仿宋"/>
                <w:sz w:val="20"/>
                <w:szCs w:val="20"/>
                <w:lang w:val="en-US" w:eastAsia="zh-CN"/>
              </w:rPr>
            </w:pPr>
            <w:r>
              <w:rPr>
                <w:rFonts w:hint="eastAsia" w:ascii="仿宋" w:hAnsi="仿宋" w:eastAsia="仿宋" w:cs="仿宋"/>
                <w:b w:val="0"/>
                <w:bCs w:val="0"/>
                <w:color w:val="auto"/>
                <w:sz w:val="20"/>
                <w:szCs w:val="20"/>
                <w:highlight w:val="none"/>
                <w:shd w:val="clear" w:color="auto" w:fill="auto"/>
                <w:lang w:val="en-US" w:eastAsia="zh-CN"/>
              </w:rPr>
              <w:t>片</w:t>
            </w:r>
          </w:p>
        </w:tc>
        <w:tc>
          <w:tcPr>
            <w:tcW w:w="971" w:type="pct"/>
            <w:vAlign w:val="center"/>
          </w:tcPr>
          <w:p w14:paraId="0D8B087B">
            <w:pPr>
              <w:spacing w:line="400" w:lineRule="exact"/>
              <w:jc w:val="center"/>
              <w:rPr>
                <w:rFonts w:hint="eastAsia" w:ascii="仿宋" w:hAnsi="仿宋" w:eastAsia="仿宋" w:cs="仿宋"/>
                <w:sz w:val="20"/>
                <w:szCs w:val="20"/>
                <w:lang w:val="en-US" w:eastAsia="zh-CN"/>
              </w:rPr>
            </w:pPr>
            <w:r>
              <w:rPr>
                <w:rFonts w:hint="eastAsia" w:ascii="仿宋" w:hAnsi="仿宋" w:eastAsia="仿宋" w:cs="仿宋"/>
                <w:b w:val="0"/>
                <w:bCs w:val="0"/>
                <w:color w:val="auto"/>
                <w:sz w:val="20"/>
                <w:szCs w:val="20"/>
                <w:highlight w:val="none"/>
                <w:shd w:val="clear" w:color="auto" w:fill="auto"/>
                <w:lang w:val="en-US" w:eastAsia="zh-CN"/>
              </w:rPr>
              <w:t>据实结算</w:t>
            </w:r>
          </w:p>
        </w:tc>
      </w:tr>
    </w:tbl>
    <w:p w14:paraId="4E16D925">
      <w:pPr>
        <w:pStyle w:val="5"/>
        <w:ind w:firstLine="480"/>
        <w:jc w:val="left"/>
        <w:rPr>
          <w:rFonts w:hint="eastAsia" w:ascii="仿宋" w:hAnsi="仿宋" w:eastAsia="仿宋" w:cs="仿宋"/>
        </w:rPr>
      </w:pPr>
    </w:p>
    <w:p w14:paraId="7AE89EAD">
      <w:pPr>
        <w:pStyle w:val="5"/>
        <w:ind w:firstLine="480"/>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lang w:eastAsia="zh-CN"/>
        </w:rPr>
        <w:t>竞选人</w:t>
      </w:r>
      <w:r>
        <w:rPr>
          <w:rFonts w:hint="eastAsia" w:ascii="仿宋" w:hAnsi="仿宋" w:eastAsia="仿宋" w:cs="仿宋"/>
        </w:rPr>
        <w:t>响应产品应当明确品牌和规格型号并指向唯一产品，不能指向唯一产品的，应通过报价表唯一产品说明栏补充说明。</w:t>
      </w:r>
    </w:p>
    <w:p w14:paraId="1EFEA060">
      <w:pPr>
        <w:pStyle w:val="5"/>
        <w:jc w:val="left"/>
        <w:rPr>
          <w:rFonts w:hint="eastAsia" w:ascii="仿宋" w:hAnsi="仿宋" w:eastAsia="仿宋" w:cs="仿宋"/>
        </w:rPr>
      </w:pPr>
    </w:p>
    <w:p w14:paraId="110C5F5E">
      <w:pPr>
        <w:pStyle w:val="5"/>
        <w:jc w:val="left"/>
        <w:outlineLvl w:val="1"/>
        <w:rPr>
          <w:rFonts w:hint="eastAsia" w:ascii="仿宋" w:hAnsi="仿宋" w:eastAsia="仿宋" w:cs="仿宋"/>
          <w:lang w:eastAsia="zh-CN"/>
        </w:rPr>
      </w:pPr>
      <w:r>
        <w:rPr>
          <w:rFonts w:hint="eastAsia" w:ascii="仿宋" w:hAnsi="仿宋" w:eastAsia="仿宋" w:cs="仿宋"/>
          <w:b/>
          <w:sz w:val="28"/>
        </w:rPr>
        <w:t>3.2.技术要求</w:t>
      </w:r>
    </w:p>
    <w:p w14:paraId="220A504A">
      <w:pPr>
        <w:pStyle w:val="5"/>
        <w:jc w:val="left"/>
        <w:outlineLvl w:val="2"/>
        <w:rPr>
          <w:rFonts w:hint="eastAsia" w:ascii="仿宋" w:hAnsi="仿宋" w:eastAsia="仿宋" w:cs="仿宋"/>
          <w:b/>
          <w:bCs/>
          <w:sz w:val="22"/>
          <w:szCs w:val="22"/>
        </w:rPr>
      </w:pPr>
      <w:r>
        <w:rPr>
          <w:rFonts w:hint="eastAsia" w:ascii="仿宋" w:hAnsi="仿宋" w:eastAsia="仿宋" w:cs="仿宋"/>
          <w:b/>
          <w:bCs/>
          <w:sz w:val="22"/>
          <w:szCs w:val="22"/>
        </w:rPr>
        <w:t>采购包1：</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0"/>
        <w:gridCol w:w="1159"/>
        <w:gridCol w:w="2082"/>
        <w:gridCol w:w="3024"/>
        <w:gridCol w:w="1494"/>
      </w:tblGrid>
      <w:tr w14:paraId="00E1E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7" w:hRule="atLeast"/>
        </w:trPr>
        <w:tc>
          <w:tcPr>
            <w:tcW w:w="446" w:type="pct"/>
            <w:vAlign w:val="center"/>
          </w:tcPr>
          <w:p w14:paraId="493E8B74">
            <w:pPr>
              <w:pStyle w:val="5"/>
              <w:jc w:val="center"/>
              <w:rPr>
                <w:rFonts w:hint="eastAsia" w:ascii="仿宋" w:hAnsi="仿宋" w:eastAsia="仿宋" w:cs="仿宋"/>
              </w:rPr>
            </w:pPr>
            <w:r>
              <w:rPr>
                <w:rFonts w:hint="eastAsia" w:ascii="仿宋" w:hAnsi="仿宋" w:eastAsia="仿宋" w:cs="仿宋"/>
              </w:rPr>
              <w:t>序号</w:t>
            </w:r>
          </w:p>
        </w:tc>
        <w:tc>
          <w:tcPr>
            <w:tcW w:w="680" w:type="pct"/>
            <w:vAlign w:val="center"/>
          </w:tcPr>
          <w:p w14:paraId="1A6B3293">
            <w:pPr>
              <w:pStyle w:val="5"/>
              <w:jc w:val="center"/>
              <w:rPr>
                <w:rFonts w:hint="eastAsia" w:ascii="仿宋" w:hAnsi="仿宋" w:eastAsia="仿宋" w:cs="仿宋"/>
              </w:rPr>
            </w:pPr>
            <w:r>
              <w:rPr>
                <w:rFonts w:hint="eastAsia" w:ascii="仿宋" w:hAnsi="仿宋" w:eastAsia="仿宋" w:cs="仿宋"/>
                <w:lang w:val="en-US" w:eastAsia="zh-CN"/>
              </w:rPr>
              <w:t>名称</w:t>
            </w:r>
          </w:p>
        </w:tc>
        <w:tc>
          <w:tcPr>
            <w:tcW w:w="1221" w:type="pct"/>
            <w:vAlign w:val="center"/>
          </w:tcPr>
          <w:p w14:paraId="6948E4C5">
            <w:pPr>
              <w:pStyle w:val="5"/>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配送耗材</w:t>
            </w:r>
            <w:r>
              <w:rPr>
                <w:rFonts w:hint="eastAsia" w:ascii="仿宋" w:hAnsi="仿宋" w:eastAsia="仿宋" w:cs="仿宋"/>
                <w:lang w:eastAsia="zh-CN"/>
              </w:rPr>
              <w:t>预期</w:t>
            </w:r>
            <w:r>
              <w:rPr>
                <w:rFonts w:hint="eastAsia" w:ascii="仿宋" w:hAnsi="仿宋" w:eastAsia="仿宋" w:cs="仿宋"/>
                <w:lang w:val="en-US" w:eastAsia="zh-CN"/>
              </w:rPr>
              <w:t>用途</w:t>
            </w:r>
          </w:p>
        </w:tc>
        <w:tc>
          <w:tcPr>
            <w:tcW w:w="1774" w:type="pct"/>
            <w:vAlign w:val="center"/>
          </w:tcPr>
          <w:p w14:paraId="44B454FD">
            <w:pPr>
              <w:numPr>
                <w:ilvl w:val="0"/>
                <w:numId w:val="0"/>
              </w:numPr>
              <w:spacing w:line="240" w:lineRule="auto"/>
              <w:ind w:left="0" w:leftChars="0" w:firstLine="0" w:firstLineChars="0"/>
              <w:jc w:val="center"/>
              <w:rPr>
                <w:rFonts w:hint="eastAsia" w:ascii="仿宋" w:hAnsi="仿宋" w:eastAsia="仿宋" w:cs="仿宋"/>
                <w:lang w:val="en-US" w:eastAsia="zh-CN"/>
              </w:rPr>
            </w:pPr>
            <w:r>
              <w:rPr>
                <w:rFonts w:hint="eastAsia" w:ascii="楷体" w:hAnsi="楷体" w:eastAsia="楷体" w:cs="楷体"/>
                <w:b w:val="0"/>
                <w:bCs w:val="0"/>
                <w:color w:val="auto"/>
                <w:sz w:val="20"/>
                <w:szCs w:val="20"/>
                <w:highlight w:val="none"/>
                <w:shd w:val="clear" w:color="auto" w:fill="auto"/>
                <w:vertAlign w:val="baseline"/>
                <w:lang w:val="en-US" w:eastAsia="zh-CN"/>
              </w:rPr>
              <w:t>预期使用的配置</w:t>
            </w:r>
          </w:p>
        </w:tc>
        <w:tc>
          <w:tcPr>
            <w:tcW w:w="876" w:type="pct"/>
            <w:vAlign w:val="center"/>
          </w:tcPr>
          <w:p w14:paraId="606B1185">
            <w:pPr>
              <w:pStyle w:val="5"/>
              <w:jc w:val="center"/>
              <w:rPr>
                <w:rFonts w:hint="eastAsia" w:ascii="仿宋" w:hAnsi="仿宋" w:eastAsia="仿宋" w:cs="仿宋"/>
                <w:highlight w:val="none"/>
                <w:lang w:val="en-US" w:eastAsia="zh-CN"/>
              </w:rPr>
            </w:pPr>
            <w:r>
              <w:rPr>
                <w:rFonts w:hint="eastAsia" w:ascii="仿宋" w:hAnsi="仿宋" w:eastAsia="仿宋" w:cs="仿宋"/>
                <w:highlight w:val="none"/>
              </w:rPr>
              <w:t>★</w:t>
            </w:r>
            <w:r>
              <w:rPr>
                <w:rFonts w:hint="eastAsia" w:ascii="仿宋" w:hAnsi="仿宋" w:eastAsia="仿宋" w:cs="仿宋"/>
                <w:highlight w:val="none"/>
                <w:lang w:val="en-US" w:eastAsia="zh-CN"/>
              </w:rPr>
              <w:t>是否提供样品</w:t>
            </w:r>
          </w:p>
        </w:tc>
      </w:tr>
      <w:tr w14:paraId="54EB6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446" w:type="pct"/>
            <w:vAlign w:val="center"/>
          </w:tcPr>
          <w:p w14:paraId="25F1AFCD">
            <w:pPr>
              <w:pStyle w:val="5"/>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80" w:type="pct"/>
            <w:vAlign w:val="center"/>
          </w:tcPr>
          <w:p w14:paraId="7D2AED71">
            <w:pPr>
              <w:keepNext w:val="0"/>
              <w:keepLines w:val="0"/>
              <w:widowControl/>
              <w:suppressLineNumbers w:val="0"/>
              <w:jc w:val="center"/>
              <w:textAlignment w:val="center"/>
              <w:rPr>
                <w:rFonts w:hint="default" w:ascii="仿宋" w:hAnsi="仿宋" w:eastAsia="仿宋" w:cs="仿宋"/>
                <w:sz w:val="22"/>
                <w:szCs w:val="28"/>
                <w:lang w:val="en-US"/>
              </w:rPr>
            </w:pPr>
            <w:r>
              <w:rPr>
                <w:rFonts w:hint="default" w:ascii="仿宋" w:hAnsi="仿宋" w:eastAsia="仿宋" w:cs="仿宋"/>
                <w:sz w:val="22"/>
                <w:szCs w:val="28"/>
                <w:lang w:val="en-US" w:eastAsia="zh-CN"/>
              </w:rPr>
              <w:t>尿失禁悬吊带</w:t>
            </w:r>
          </w:p>
        </w:tc>
        <w:tc>
          <w:tcPr>
            <w:tcW w:w="1221" w:type="pct"/>
            <w:vAlign w:val="center"/>
          </w:tcPr>
          <w:p w14:paraId="5BD32C5E">
            <w:pPr>
              <w:keepNext w:val="0"/>
              <w:keepLines w:val="0"/>
              <w:widowControl/>
              <w:suppressLineNumbers w:val="0"/>
              <w:jc w:val="left"/>
              <w:textAlignment w:val="center"/>
              <w:rPr>
                <w:rFonts w:hint="eastAsia" w:ascii="仿宋" w:hAnsi="仿宋" w:eastAsia="仿宋" w:cs="仿宋"/>
                <w:sz w:val="22"/>
                <w:szCs w:val="28"/>
              </w:rPr>
            </w:pPr>
            <w:r>
              <w:rPr>
                <w:rFonts w:hint="eastAsia" w:ascii="仿宋" w:hAnsi="仿宋" w:eastAsia="仿宋" w:cs="仿宋"/>
                <w:sz w:val="22"/>
                <w:szCs w:val="28"/>
                <w:lang w:val="en-US" w:eastAsia="zh-CN"/>
              </w:rPr>
              <w:t>压力性尿失禁尿道中段悬吊用。</w:t>
            </w:r>
          </w:p>
        </w:tc>
        <w:tc>
          <w:tcPr>
            <w:tcW w:w="1774" w:type="pct"/>
            <w:vAlign w:val="center"/>
          </w:tcPr>
          <w:p w14:paraId="7DE6C619">
            <w:pPr>
              <w:keepNext w:val="0"/>
              <w:keepLines w:val="0"/>
              <w:widowControl/>
              <w:suppressLineNumbers w:val="0"/>
              <w:jc w:val="left"/>
              <w:textAlignment w:val="center"/>
              <w:rPr>
                <w:rFonts w:hint="default" w:ascii="仿宋" w:hAnsi="仿宋" w:eastAsia="仿宋" w:cs="仿宋"/>
                <w:sz w:val="22"/>
                <w:szCs w:val="28"/>
                <w:lang w:val="en-US" w:eastAsia="zh-CN"/>
              </w:rPr>
            </w:pPr>
            <w:r>
              <w:rPr>
                <w:rFonts w:hint="eastAsia" w:ascii="仿宋" w:hAnsi="仿宋" w:eastAsia="仿宋" w:cs="仿宋"/>
                <w:sz w:val="22"/>
                <w:szCs w:val="28"/>
                <w:lang w:val="en-US" w:eastAsia="zh-CN"/>
              </w:rPr>
              <w:t>通常由植入物组件、导引杆及其它组件组成。植入物组件包括网片、网片外鞘及穿刺套管；导引杆由导针和手柄构成；其它组件包括：放置环、推针器、（无损伤具翼）导引器。无菌提供。</w:t>
            </w:r>
          </w:p>
        </w:tc>
        <w:tc>
          <w:tcPr>
            <w:tcW w:w="876" w:type="pct"/>
            <w:vAlign w:val="center"/>
          </w:tcPr>
          <w:p w14:paraId="3D29938D">
            <w:pPr>
              <w:keepNext w:val="0"/>
              <w:keepLines w:val="0"/>
              <w:widowControl/>
              <w:suppressLineNumbers w:val="0"/>
              <w:jc w:val="center"/>
              <w:textAlignment w:val="center"/>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是</w:t>
            </w:r>
          </w:p>
        </w:tc>
      </w:tr>
    </w:tbl>
    <w:p w14:paraId="1CA95C73">
      <w:pPr>
        <w:pStyle w:val="5"/>
        <w:jc w:val="left"/>
        <w:outlineLvl w:val="9"/>
        <w:rPr>
          <w:rFonts w:hint="eastAsia" w:ascii="仿宋" w:hAnsi="仿宋" w:eastAsia="仿宋" w:cs="仿宋"/>
          <w:b/>
          <w:sz w:val="28"/>
        </w:rPr>
      </w:pPr>
    </w:p>
    <w:p w14:paraId="6E669A58">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rPr>
        <w:t>3.3.</w:t>
      </w:r>
      <w:r>
        <w:rPr>
          <w:rFonts w:hint="eastAsia" w:ascii="仿宋" w:hAnsi="仿宋" w:eastAsia="仿宋" w:cs="仿宋"/>
          <w:b/>
          <w:sz w:val="28"/>
          <w:lang w:val="en-US" w:eastAsia="zh-CN"/>
        </w:rPr>
        <w:t>项目采购要求</w:t>
      </w:r>
    </w:p>
    <w:p w14:paraId="6EBC00D8">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一、挂网需求</w:t>
      </w:r>
    </w:p>
    <w:p w14:paraId="179A607E">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本项目所有标的均须提供挂网产品。</w:t>
      </w:r>
    </w:p>
    <w:p w14:paraId="34465C91">
      <w:pPr>
        <w:ind w:firstLine="440" w:firstLineChars="200"/>
        <w:jc w:val="left"/>
        <w:textAlignment w:val="center"/>
        <w:rPr>
          <w:rFonts w:hint="default"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注：本项目中所指“挂网产品”，为“四川省药品和医用耗材招采管理系统”中已挂网产品（不含正在挂网和备案的产品）。</w:t>
      </w:r>
    </w:p>
    <w:p w14:paraId="38994FD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二、样品要求</w:t>
      </w:r>
    </w:p>
    <w:p w14:paraId="6C9E1364">
      <w:pPr>
        <w:ind w:firstLine="440" w:firstLineChars="200"/>
        <w:jc w:val="left"/>
        <w:textAlignment w:val="center"/>
        <w:rPr>
          <w:rFonts w:hint="default"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1.必须提供样品，以供评审专家现场评审（如样品和标的产品有同一材质的，竞选人可提供承诺函证明标的产品与样品为同一材质，则无需提供所有标的产品作为样品，</w:t>
      </w:r>
      <w:r>
        <w:rPr>
          <w:rFonts w:hint="eastAsia" w:ascii="仿宋" w:hAnsi="仿宋" w:eastAsia="仿宋" w:cs="仿宋"/>
          <w:b/>
          <w:bCs/>
          <w:color w:val="000000"/>
          <w:kern w:val="0"/>
          <w:sz w:val="22"/>
          <w:szCs w:val="22"/>
          <w:highlight w:val="yellow"/>
          <w:u w:val="none"/>
          <w:lang w:val="en-US" w:eastAsia="zh-CN" w:bidi="ar"/>
        </w:rPr>
        <w:t>承诺函须备注同一材质的标的物序号</w:t>
      </w:r>
      <w:r>
        <w:rPr>
          <w:rFonts w:hint="eastAsia" w:ascii="仿宋" w:hAnsi="仿宋" w:eastAsia="仿宋" w:cs="仿宋"/>
          <w:b w:val="0"/>
          <w:bCs w:val="0"/>
          <w:color w:val="000000"/>
          <w:kern w:val="0"/>
          <w:sz w:val="22"/>
          <w:szCs w:val="22"/>
          <w:u w:val="none"/>
          <w:lang w:val="en-US" w:eastAsia="zh-CN" w:bidi="ar"/>
        </w:rPr>
        <w:t>）。</w:t>
      </w:r>
    </w:p>
    <w:p w14:paraId="0F6DB151">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2.提交的样品不符合实际需求或存在原理错误则视为无效响应。</w:t>
      </w:r>
    </w:p>
    <w:p w14:paraId="56BEBBF9">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3.本项目竞选人提供的样品，应与该竞选人响应文件保持一致（具体参考《医疗器械说明书和标签管理规定》）。</w:t>
      </w:r>
    </w:p>
    <w:p w14:paraId="538A659C">
      <w:pPr>
        <w:ind w:firstLine="442" w:firstLineChars="200"/>
        <w:jc w:val="left"/>
        <w:textAlignment w:val="center"/>
        <w:rPr>
          <w:rFonts w:hint="default" w:ascii="仿宋" w:hAnsi="仿宋" w:eastAsia="仿宋" w:cs="仿宋"/>
          <w:b/>
          <w:bCs/>
          <w:color w:val="000000"/>
          <w:kern w:val="0"/>
          <w:sz w:val="22"/>
          <w:szCs w:val="22"/>
          <w:highlight w:val="none"/>
          <w:u w:val="none"/>
          <w:lang w:val="en-US" w:eastAsia="zh-CN" w:bidi="ar"/>
        </w:rPr>
      </w:pPr>
      <w:r>
        <w:rPr>
          <w:rFonts w:hint="eastAsia" w:ascii="仿宋" w:hAnsi="仿宋" w:eastAsia="仿宋" w:cs="仿宋"/>
          <w:b/>
          <w:bCs/>
          <w:color w:val="000000"/>
          <w:kern w:val="0"/>
          <w:sz w:val="22"/>
          <w:szCs w:val="22"/>
          <w:highlight w:val="none"/>
          <w:u w:val="none"/>
          <w:lang w:val="en-US" w:eastAsia="zh-CN" w:bidi="ar"/>
        </w:rPr>
        <w:t>注：样品包装需完整，样品评审时将由采购代理机构拍照留存，作为后期验收的依据。</w:t>
      </w:r>
    </w:p>
    <w:p w14:paraId="3202923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三、商务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11FB4AE3">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outlineLvl w:val="3"/>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1.交货期及地点</w:t>
      </w:r>
    </w:p>
    <w:p w14:paraId="6D074CF3">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（1）交货期：</w:t>
      </w:r>
      <w:r>
        <w:rPr>
          <w:rFonts w:hint="eastAsia" w:ascii="仿宋" w:hAnsi="仿宋" w:eastAsia="仿宋" w:cs="仿宋"/>
          <w:color w:val="000000"/>
          <w:kern w:val="0"/>
          <w:sz w:val="22"/>
          <w:szCs w:val="22"/>
          <w:lang w:val="en-US" w:eastAsia="zh-CN" w:bidi="zh-CN"/>
        </w:rPr>
        <w:t>每次配送时间必须严格按照采购人配送通知执行，中选人应于收到通知后2小时内响应。急用产品的配送时间不应超过4小时，一般产品原则上的配送时间不应超过2个工作日。</w:t>
      </w:r>
    </w:p>
    <w:p w14:paraId="2D862EDB">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（2）交货地点：内江</w:t>
      </w:r>
      <w:r>
        <w:rPr>
          <w:rFonts w:hint="eastAsia" w:ascii="仿宋" w:hAnsi="仿宋" w:eastAsia="仿宋" w:cs="仿宋"/>
          <w:color w:val="000000"/>
          <w:kern w:val="0"/>
          <w:sz w:val="22"/>
          <w:szCs w:val="22"/>
          <w:u w:val="none"/>
          <w:lang w:val="en-US" w:eastAsia="zh-CN" w:bidi="ar"/>
        </w:rPr>
        <w:t>市第一人民医院指定地点。</w:t>
      </w:r>
    </w:p>
    <w:p w14:paraId="2A34D656">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2.付款方法和条件</w:t>
      </w:r>
    </w:p>
    <w:p w14:paraId="64ABB4F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（1）结算方式：货款按实结算且由双方协商决定；</w:t>
      </w:r>
    </w:p>
    <w:p w14:paraId="6C676D50">
      <w:pPr>
        <w:ind w:firstLine="440" w:firstLineChars="200"/>
        <w:jc w:val="left"/>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2"/>
          <w:szCs w:val="22"/>
          <w:u w:val="none"/>
          <w:lang w:val="en-US" w:eastAsia="zh-CN" w:bidi="ar"/>
        </w:rPr>
        <w:t>（2）成交价格包含成本、运输、包装、培训、配送、伴随服务、税费及其他附加费用</w:t>
      </w:r>
      <w:r>
        <w:rPr>
          <w:rFonts w:hint="eastAsia" w:ascii="仿宋" w:hAnsi="仿宋" w:eastAsia="仿宋" w:cs="仿宋"/>
          <w:sz w:val="24"/>
          <w:szCs w:val="24"/>
          <w:lang w:val="en-US" w:eastAsia="zh-CN"/>
        </w:rPr>
        <w:t>。</w:t>
      </w:r>
    </w:p>
    <w:p w14:paraId="44DEEF70">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3.医用耗材质量保证</w:t>
      </w:r>
    </w:p>
    <w:p w14:paraId="052C4538">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（1）成交供应商须提供原厂生产的未曾使用过的、全新的合格的货品（含配套配件等），表面无划伤、无破损痕迹，且权属清楚，不得侵害他人的合法权利；</w:t>
      </w:r>
    </w:p>
    <w:p w14:paraId="361DB23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成交供应商所提供货品须符合或优于国家（行业）标准、本项目招标文件要求及竞选文件响应内容。当竞选文件响应内容与招标文件要求不一致时，以竞选文件响应内容为准。当竞选文件响应内容与国家标准、行业标准（若有）不一致时，以较高标准为准；</w:t>
      </w:r>
    </w:p>
    <w:p w14:paraId="597F3E5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（3）成交供应商提供货品的设计技术专利、外形专利等均应符合我国有关法律法规及行业标准，凡因以上问题与第三方发生的任何纠纷均与采购人无关；</w:t>
      </w:r>
    </w:p>
    <w:p w14:paraId="2CC931B3">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（4）成交供应商保证其提供货品的安全可靠性。在正常使用下不应对使用者造成任何人身伤害，如因产品质量或标示不明确而对使用者造成损失的，由成交供应商承担相应责任；</w:t>
      </w:r>
    </w:p>
    <w:p w14:paraId="41E0558D">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成交供应商应保证所供耗材原产地真实，医用耗材是全新的、未使用过的，质量符合国家标准（在无国家标准时，符合行业标准），不得以假充真，以次充好，确保临床医疗安全。如出现质量问题，成交供应商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79901E9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（6）成交供应商保证所供耗材有效期不低于1年，自通过最终验收之日起，确保采购人在使用耗材的过程中安全、有效。</w:t>
      </w:r>
    </w:p>
    <w:p w14:paraId="46A2E7E9">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4.验收</w:t>
      </w:r>
    </w:p>
    <w:p w14:paraId="5C16759B">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按照《财政部关于进一步加强政府采购需求和履约验收管理的指导意见》（财库〔2016〕205号）的要求以及采购人招标文件的质量要求和技术指标、成交供应商的竞选文件及承诺（若有）、国家（行业）标准、本合同约定标准进行验收；</w:t>
      </w:r>
    </w:p>
    <w:p w14:paraId="0494779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验收时如发现所交付的货物有短装、次品、损坏或其他不符合验收标准的，采购人应做出详尽的现场记录，此现场记录或备忘录可用作补充、缺失和更换损坏部件的有效证据，由此产生的时间延误与有关费用由成交供应商承担，验收期限相应顺延；</w:t>
      </w:r>
    </w:p>
    <w:p w14:paraId="0CAC0708">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若所提供货物不符合验收标准，成交供应商经过2次维修或2次调换后仍不能达到验收质量标准，则视为验收不合格，采购人有权全部（或部分）退货或解除合同。接到采购人退货通知，成交供应商除应及时运走采购人退还的货物外（若涉及费用或损失均由成交供应商自行承担），还应向采购人承担相应的违约责任。</w:t>
      </w:r>
    </w:p>
    <w:p w14:paraId="627159F4">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5.售后服务</w:t>
      </w:r>
    </w:p>
    <w:p w14:paraId="4384D013">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要求成交供应商必须严格按照招标文件要求和竞选文件中的承诺提供配送服务。如果配送的医用耗材规格、包装等信息与中标产品的规格、包装等信息不一致并不同意更换的，或配送的医用耗材和中标产品不一致的，采购人有权终止合同；</w:t>
      </w:r>
    </w:p>
    <w:p w14:paraId="5C5A86E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（2）要求成交供应商指派专人负责与采购人联系售后服务事宜；在竞选文件中列明售后联系人及联系电话；</w:t>
      </w:r>
    </w:p>
    <w:p w14:paraId="2FBF7A58">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要求成交供应商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0198FC1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（4）耗材临近失效期，采购人提前三个月向成交供应商提出更换，成交供应商须在耗材失效前一个月更换完毕，不得以任何理由进行推诿；</w:t>
      </w:r>
    </w:p>
    <w:p w14:paraId="1B982BD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（5）成交供应商必须随货提供其具备医疗器械经营企业的有关合法有效的手续（包括但不限于）：</w:t>
      </w:r>
    </w:p>
    <w:p w14:paraId="06916A49">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5.1产品所涉及逐级授权经销商的医疗器械生产（经营）许可证或生产（经营）企业备案表；</w:t>
      </w:r>
    </w:p>
    <w:p w14:paraId="2C6CD42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5.2医疗器械产品注册证或备案凭证；</w:t>
      </w:r>
    </w:p>
    <w:p w14:paraId="0DC8F65F">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5.3医疗器械生产企业许可证；</w:t>
      </w:r>
    </w:p>
    <w:p w14:paraId="78864E9F">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5.4经销商获得的委托授权书（逐级）；</w:t>
      </w:r>
    </w:p>
    <w:p w14:paraId="642CBC2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5.5产品所涉及逐级授权经销商的企业法人营业执照。</w:t>
      </w:r>
    </w:p>
    <w:p w14:paraId="67BF46E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5.6采购人要求提供的相关资料。</w:t>
      </w:r>
    </w:p>
    <w:p w14:paraId="60480A0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乙方或厂家原因无法按上述要求执行的，则甲方可以解除与乙方在成交合同中对该产品的采购相关约定。</w:t>
      </w:r>
    </w:p>
    <w:p w14:paraId="5DE1607C">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6.包装和运输 </w:t>
      </w:r>
    </w:p>
    <w:p w14:paraId="54A23333">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 xml:space="preserve">（1）成交供应商须严格按照《商品包装政府采购需求标准(试行)》、《快递包装政府采购需求标准(试行)》(财办库〔2020〕123 号)的要求进行产品及相关快递服务的包装； </w:t>
      </w:r>
    </w:p>
    <w:p w14:paraId="59D56DAE">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 xml:space="preserve">（2）竞选人应当按照约定的方式交付标的物。对于包装方式没有约定或者约定不明确的，应当按照通用的方式包装；没有通用方式的，应当采取足以保护标的物且有利于节约资源，保护生态环境的包装方式； </w:t>
      </w:r>
    </w:p>
    <w:p w14:paraId="262A845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（3）本次采购的标的物需要运输，竞选人在合同约定的时间内将标的物运输至合同约定地点。</w:t>
      </w:r>
    </w:p>
    <w:p w14:paraId="68F40CE1">
      <w:pPr>
        <w:pStyle w:val="5"/>
        <w:jc w:val="left"/>
        <w:outlineLvl w:val="1"/>
        <w:rPr>
          <w:rFonts w:hint="eastAsia" w:ascii="仿宋" w:hAnsi="仿宋" w:eastAsia="仿宋" w:cs="仿宋"/>
        </w:rPr>
      </w:pPr>
      <w:r>
        <w:rPr>
          <w:rFonts w:hint="eastAsia" w:ascii="仿宋" w:hAnsi="仿宋" w:eastAsia="仿宋" w:cs="仿宋"/>
          <w:b/>
          <w:sz w:val="28"/>
        </w:rPr>
        <w:t>3.4.其他要求</w:t>
      </w:r>
    </w:p>
    <w:p w14:paraId="2B0927A8">
      <w:pPr>
        <w:pStyle w:val="5"/>
        <w:ind w:firstLine="480" w:firstLineChars="0"/>
        <w:jc w:val="left"/>
        <w:outlineLvl w:val="2"/>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违约责任与解决争议的方法：</w:t>
      </w:r>
    </w:p>
    <w:p w14:paraId="0EB34499">
      <w:pPr>
        <w:pStyle w:val="5"/>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1.1违约责任</w:t>
      </w:r>
    </w:p>
    <w:p w14:paraId="7F2462B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（1）乙方逾期15日内不能提供甲方所需医用耗材的，应向甲方每日支付该批次货款千分之三的违约金。</w:t>
      </w:r>
    </w:p>
    <w:p w14:paraId="2F397AC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（2）乙方逾期15日及以上不能交付以上产品的，视同不能供货，须向甲方支付该批次货款的10%的违约金，同时甲方可以单方面解除本合同。</w:t>
      </w:r>
    </w:p>
    <w:p w14:paraId="57821E4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（3）若因乙方原因造成甲方被监管部门通报三次及以上的或者造成甲方违规采购，甲方有权单方面解除本合同。同时</w:t>
      </w:r>
      <w:r>
        <w:rPr>
          <w:rFonts w:hint="default" w:ascii="仿宋" w:hAnsi="仿宋" w:eastAsia="仿宋" w:cs="仿宋"/>
          <w:color w:val="000000"/>
          <w:kern w:val="0"/>
          <w:sz w:val="22"/>
          <w:szCs w:val="22"/>
          <w:u w:val="none"/>
          <w:lang w:val="en-US" w:eastAsia="zh-CN" w:bidi="ar"/>
        </w:rPr>
        <w:t>，</w:t>
      </w:r>
      <w:r>
        <w:rPr>
          <w:rFonts w:hint="eastAsia" w:ascii="仿宋" w:hAnsi="仿宋" w:eastAsia="仿宋" w:cs="仿宋"/>
          <w:color w:val="000000"/>
          <w:kern w:val="0"/>
          <w:sz w:val="22"/>
          <w:szCs w:val="22"/>
          <w:u w:val="none"/>
          <w:lang w:val="en-US" w:eastAsia="zh-CN" w:bidi="ar"/>
        </w:rPr>
        <w:t>甲方有权要求乙方支付该批货物价款20%的违约金。</w:t>
      </w:r>
    </w:p>
    <w:p w14:paraId="58E7C6E2">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乙方销售的产品若发生严重医疗不良事件或被国家法定检测机构检测为不合格产品，视为乙方违约导致不能实现本合同目的，甲方有权单方面解除本合同，并要求乙方限期收回不合格产品，并要求乙方需承担合同价款20%的违约金，违约金不足以弥补甲方损失的，乙方还应当承补足。即使产品已经验收入库（或安装调试完毕）后，甲方才发现产品为不合格产品的，也视为乙方违约，乙方应当承担本条约定的责任。同时甲方有权退回库存产品。</w:t>
      </w:r>
    </w:p>
    <w:p w14:paraId="5122A2F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（5）若根据法律规定或本协议约定产生甲方退、换货或拒绝收货情形，由乙方承担退换货产生的各项税、费或其他支出。</w:t>
      </w:r>
    </w:p>
    <w:p w14:paraId="6BCFB65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（6）乙方不能保证及时供货，除应当向甲方承担违约责任外，甲方仍有权单方面解除本合同。</w:t>
      </w:r>
    </w:p>
    <w:p w14:paraId="2B3A786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（7）因乙方提供的产品不合格造成甲方或第三人人身损害或财产损失的，由乙方承担赔偿责任。</w:t>
      </w:r>
    </w:p>
    <w:p w14:paraId="0E2E243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8）若因乙方原因造成甲方挂网执行存在问题以及线上支付不及时、造成甲方未挂网采购的或者存在其他问题的，乙方应承担违约责任，且甲方有权要求乙方支付该批货物价款20%的违约金，甲方有权单方面解除合同。</w:t>
      </w:r>
    </w:p>
    <w:p w14:paraId="43064594">
      <w:pPr>
        <w:pStyle w:val="5"/>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1.2解决合同纠纷的方式</w:t>
      </w:r>
    </w:p>
    <w:p w14:paraId="0DF1C68B">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（1）因货物的质量问题发生的争议，由法定质量鉴定机构或其认可的质量鉴定机构进行质量鉴定。货物符合标准的，鉴定费由甲方承担；货物不符合质量标准的，鉴定费由乙方承担。</w:t>
      </w:r>
    </w:p>
    <w:p w14:paraId="17982348">
      <w:pPr>
        <w:ind w:firstLine="440" w:firstLineChars="200"/>
        <w:jc w:val="left"/>
        <w:textAlignment w:val="center"/>
        <w:rPr>
          <w:rFonts w:hint="default"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（2）合同履行期间，若双方发生争议，可协商或由有关部门调解解决，协商或调解不成的，可向甲方所在地人民法院依法提起诉讼。</w:t>
      </w:r>
    </w:p>
    <w:p w14:paraId="2523CA91">
      <w:pPr>
        <w:pStyle w:val="5"/>
        <w:ind w:firstLine="480"/>
        <w:jc w:val="left"/>
        <w:rPr>
          <w:rFonts w:hint="default" w:ascii="Times New Roman" w:hAnsi="Times New Roman" w:eastAsia="仿宋" w:cs="Times New Roman"/>
          <w:color w:val="auto"/>
          <w:sz w:val="24"/>
          <w:szCs w:val="24"/>
          <w:highlight w:val="yellow"/>
          <w:shd w:val="clear" w:color="auto" w:fill="auto"/>
          <w:lang w:val="en-US" w:eastAsia="zh-CN"/>
        </w:rPr>
      </w:pPr>
      <w:r>
        <w:rPr>
          <w:rFonts w:hint="eastAsia" w:ascii="仿宋" w:hAnsi="仿宋" w:eastAsia="仿宋" w:cs="仿宋"/>
          <w:b/>
          <w:bCs/>
          <w:sz w:val="24"/>
          <w:szCs w:val="24"/>
          <w:lang w:val="en-US" w:eastAsia="zh-CN"/>
        </w:rPr>
        <w:t>2.</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000000"/>
          <w:kern w:val="0"/>
          <w:sz w:val="22"/>
          <w:szCs w:val="22"/>
          <w:highlight w:val="none"/>
          <w:u w:val="none"/>
          <w:lang w:val="en-US" w:eastAsia="zh-CN" w:bidi="ar"/>
        </w:rPr>
        <w:t>2年。</w:t>
      </w:r>
    </w:p>
    <w:p w14:paraId="4C3FFFEB">
      <w:pPr>
        <w:pStyle w:val="5"/>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3.支付方式：</w:t>
      </w:r>
      <w:r>
        <w:rPr>
          <w:rFonts w:hint="eastAsia" w:ascii="仿宋" w:hAnsi="仿宋" w:eastAsia="仿宋" w:cs="仿宋"/>
          <w:color w:val="000000"/>
          <w:kern w:val="0"/>
          <w:sz w:val="22"/>
          <w:szCs w:val="22"/>
          <w:u w:val="none"/>
          <w:lang w:val="en-US" w:eastAsia="zh-CN" w:bidi="ar"/>
        </w:rPr>
        <w:t>双方协商确定。</w:t>
      </w:r>
    </w:p>
    <w:p w14:paraId="744961D9">
      <w:pPr>
        <w:pStyle w:val="5"/>
        <w:ind w:firstLine="48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r>
        <w:rPr>
          <w:rFonts w:hint="default" w:ascii="仿宋" w:hAnsi="仿宋" w:eastAsia="仿宋" w:cs="仿宋"/>
          <w:b/>
          <w:bCs/>
          <w:sz w:val="24"/>
          <w:szCs w:val="24"/>
          <w:lang w:val="en-US" w:eastAsia="zh-CN"/>
        </w:rPr>
        <w:t>履约验收程序</w:t>
      </w:r>
      <w:r>
        <w:rPr>
          <w:rFonts w:hint="eastAsia" w:ascii="仿宋" w:hAnsi="仿宋" w:eastAsia="仿宋" w:cs="仿宋"/>
          <w:b/>
          <w:bCs/>
          <w:sz w:val="24"/>
          <w:szCs w:val="24"/>
          <w:lang w:val="en-US" w:eastAsia="zh-CN"/>
        </w:rPr>
        <w:t>：</w:t>
      </w:r>
      <w:r>
        <w:rPr>
          <w:rFonts w:hint="eastAsia" w:ascii="仿宋" w:hAnsi="仿宋" w:eastAsia="仿宋" w:cs="仿宋"/>
          <w:color w:val="000000"/>
          <w:kern w:val="0"/>
          <w:sz w:val="22"/>
          <w:szCs w:val="22"/>
          <w:u w:val="none"/>
          <w:lang w:val="en-US" w:eastAsia="zh-CN" w:bidi="ar"/>
        </w:rPr>
        <w:t>分批次验收。</w:t>
      </w:r>
    </w:p>
    <w:p w14:paraId="5D4E2BB9">
      <w:r>
        <w:rPr>
          <w:rFonts w:hint="eastAsia" w:ascii="仿宋" w:hAnsi="仿宋" w:eastAsia="仿宋" w:cs="仿宋"/>
          <w:b/>
          <w:bCs/>
          <w:sz w:val="24"/>
          <w:szCs w:val="24"/>
          <w:lang w:val="en-US" w:eastAsia="zh-CN"/>
        </w:rPr>
        <w:t>5.</w:t>
      </w:r>
      <w:r>
        <w:rPr>
          <w:rFonts w:hint="default" w:ascii="仿宋" w:hAnsi="仿宋" w:eastAsia="仿宋" w:cs="仿宋"/>
          <w:b/>
          <w:bCs/>
          <w:sz w:val="24"/>
          <w:szCs w:val="24"/>
          <w:lang w:val="en-US" w:eastAsia="zh-CN"/>
        </w:rPr>
        <w:t>履约验收时间：</w:t>
      </w:r>
      <w:r>
        <w:rPr>
          <w:rFonts w:hint="default" w:ascii="仿宋" w:hAnsi="仿宋" w:eastAsia="仿宋" w:cs="仿宋"/>
          <w:color w:val="000000"/>
          <w:kern w:val="0"/>
          <w:sz w:val="22"/>
          <w:szCs w:val="22"/>
          <w:u w:val="none"/>
          <w:lang w:val="en-US" w:eastAsia="zh-CN" w:bidi="ar"/>
        </w:rPr>
        <w:t>合同期限内，根据</w:t>
      </w:r>
      <w:r>
        <w:rPr>
          <w:rFonts w:hint="eastAsia" w:ascii="仿宋" w:hAnsi="仿宋" w:eastAsia="仿宋" w:cs="仿宋"/>
          <w:color w:val="000000"/>
          <w:kern w:val="0"/>
          <w:sz w:val="22"/>
          <w:szCs w:val="22"/>
          <w:u w:val="none"/>
          <w:lang w:val="en-US" w:eastAsia="zh-CN" w:bidi="ar"/>
        </w:rPr>
        <w:t>采购人</w:t>
      </w:r>
      <w:r>
        <w:rPr>
          <w:rFonts w:hint="default" w:ascii="仿宋" w:hAnsi="仿宋" w:eastAsia="仿宋" w:cs="仿宋"/>
          <w:color w:val="000000"/>
          <w:kern w:val="0"/>
          <w:sz w:val="22"/>
          <w:szCs w:val="22"/>
          <w:u w:val="none"/>
          <w:lang w:val="en-US" w:eastAsia="zh-CN" w:bidi="ar"/>
        </w:rPr>
        <w:t>要求分批次送货，完成送货、验收入库视为验收完成</w:t>
      </w:r>
      <w:r>
        <w:rPr>
          <w:rFonts w:hint="eastAsia" w:ascii="仿宋" w:hAnsi="仿宋" w:eastAsia="仿宋" w:cs="仿宋"/>
          <w:color w:val="000000"/>
          <w:kern w:val="0"/>
          <w:sz w:val="22"/>
          <w:szCs w:val="22"/>
          <w:u w:val="none"/>
          <w:lang w:val="en-US" w:eastAsia="zh-CN" w:bidi="ar"/>
        </w:rPr>
        <w:t>。</w:t>
      </w:r>
      <w:r>
        <w:rPr>
          <w:rFonts w:hint="eastAsia" w:ascii="仿宋" w:hAnsi="仿宋" w:eastAsia="仿宋" w:cs="仿宋"/>
          <w:color w:val="000000"/>
          <w:kern w:val="0"/>
          <w:sz w:val="22"/>
          <w:szCs w:val="22"/>
          <w:u w:val="none"/>
          <w:lang w:val="en-US" w:eastAsia="zh-CN" w:bidi="ar"/>
        </w:rPr>
        <w:br w:type="textWrapping"/>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66F5"/>
    <w:rsid w:val="108B406B"/>
    <w:rsid w:val="1ACE595C"/>
    <w:rsid w:val="2D666B35"/>
    <w:rsid w:val="312E4E5B"/>
    <w:rsid w:val="368372FD"/>
    <w:rsid w:val="3E441D93"/>
    <w:rsid w:val="6B31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3698</Words>
  <Characters>3784</Characters>
  <Lines>0</Lines>
  <Paragraphs>0</Paragraphs>
  <TotalTime>0</TotalTime>
  <ScaleCrop>false</ScaleCrop>
  <LinksUpToDate>false</LinksUpToDate>
  <CharactersWithSpaces>3789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kimi</cp:lastModifiedBy>
  <dcterms:modified xsi:type="dcterms:W3CDTF">2025-07-15T09:20:50Z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eyJoZGlkIjoiNGNhMWE3NTkxNzZmNGI1MDVkZjYwMjhiNGQ2YjQxMDkiLCJ1c2VySWQiOiI0ODI5Njk1NDgifQ==</vt:lpwstr>
  </property>
  <property fmtid="{D5CDD505-2E9C-101B-9397-08002B2CF9AE}" pid="4" name="ICV">
    <vt:lpwstr>C5B7C8CBB9774CFEB3B6A5951A74B4A9_12</vt:lpwstr>
  </property>
</Properties>
</file>