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12"/>
        <w:jc w:val="center"/>
        <w:outlineLvl w:val="0"/>
        <w:rPr>
          <w:rFonts w:hint="eastAsia" w:ascii="仿宋" w:hAnsi="仿宋" w:eastAsia="仿宋" w:cs="仿宋"/>
          <w:highlight w:val="none"/>
        </w:rPr>
      </w:pPr>
      <w:bookmarkStart w:id="2" w:name="_GoBack"/>
      <w:bookmarkEnd w:id="2"/>
      <w:bookmarkStart w:id="0" w:name="_Toc27801"/>
      <w:bookmarkStart w:id="1" w:name="_Toc15798"/>
      <w:r>
        <w:rPr>
          <w:rFonts w:hint="eastAsia" w:ascii="仿宋" w:hAnsi="仿宋" w:eastAsia="仿宋" w:cs="仿宋"/>
          <w:b/>
          <w:sz w:val="36"/>
          <w:highlight w:val="none"/>
        </w:rPr>
        <w:t>第三章 技术、服务及其他要求</w:t>
      </w:r>
      <w:bookmarkEnd w:id="0"/>
      <w:bookmarkEnd w:id="1"/>
    </w:p>
    <w:p w14:paraId="0850A5A1">
      <w:pPr>
        <w:pStyle w:val="12"/>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048B5B3D">
      <w:pPr>
        <w:pStyle w:val="12"/>
        <w:jc w:val="left"/>
        <w:outlineLvl w:val="1"/>
        <w:rPr>
          <w:rFonts w:hint="eastAsia" w:ascii="仿宋" w:hAnsi="仿宋" w:eastAsia="仿宋" w:cs="仿宋"/>
          <w:highlight w:val="none"/>
          <w:lang w:eastAsia="zh-CN"/>
        </w:rPr>
      </w:pPr>
      <w:r>
        <w:rPr>
          <w:rFonts w:hint="eastAsia" w:ascii="仿宋" w:hAnsi="仿宋" w:eastAsia="仿宋" w:cs="仿宋"/>
          <w:b/>
          <w:sz w:val="28"/>
          <w:highlight w:val="none"/>
          <w:lang w:eastAsia="zh-CN"/>
        </w:rPr>
        <w:t>一、</w:t>
      </w:r>
      <w:r>
        <w:rPr>
          <w:rFonts w:hint="eastAsia" w:ascii="仿宋" w:hAnsi="仿宋" w:eastAsia="仿宋" w:cs="仿宋"/>
          <w:b/>
          <w:sz w:val="28"/>
          <w:highlight w:val="none"/>
          <w:lang w:val="en-US" w:eastAsia="zh-CN"/>
        </w:rPr>
        <w:t>标的情况</w:t>
      </w:r>
    </w:p>
    <w:p w14:paraId="26EEB938">
      <w:pPr>
        <w:pStyle w:val="12"/>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tbl>
      <w:tblPr>
        <w:tblStyle w:val="8"/>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7"/>
        <w:gridCol w:w="587"/>
        <w:gridCol w:w="1655"/>
        <w:gridCol w:w="2282"/>
        <w:gridCol w:w="901"/>
        <w:gridCol w:w="1563"/>
        <w:gridCol w:w="2110"/>
      </w:tblGrid>
      <w:tr w14:paraId="06309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jc w:val="center"/>
        </w:trPr>
        <w:tc>
          <w:tcPr>
            <w:tcW w:w="244" w:type="pct"/>
            <w:vAlign w:val="center"/>
          </w:tcPr>
          <w:p w14:paraId="464DF4A0">
            <w:pPr>
              <w:pStyle w:val="12"/>
              <w:jc w:val="center"/>
              <w:rPr>
                <w:rFonts w:hint="eastAsia" w:ascii="仿宋" w:hAnsi="仿宋" w:eastAsia="仿宋" w:cs="仿宋"/>
                <w:lang w:val="en-US" w:eastAsia="zh-CN"/>
              </w:rPr>
            </w:pPr>
            <w:r>
              <w:rPr>
                <w:rFonts w:hint="eastAsia" w:ascii="仿宋" w:hAnsi="仿宋" w:eastAsia="仿宋" w:cs="仿宋"/>
                <w:lang w:val="en-US" w:eastAsia="zh-CN"/>
              </w:rPr>
              <w:t>包号</w:t>
            </w:r>
          </w:p>
        </w:tc>
        <w:tc>
          <w:tcPr>
            <w:tcW w:w="307" w:type="pct"/>
            <w:vAlign w:val="center"/>
          </w:tcPr>
          <w:p w14:paraId="5DFB1238">
            <w:pPr>
              <w:pStyle w:val="12"/>
              <w:jc w:val="center"/>
              <w:rPr>
                <w:rFonts w:hint="eastAsia" w:ascii="仿宋" w:hAnsi="仿宋" w:eastAsia="仿宋" w:cs="仿宋"/>
                <w:lang w:val="en-US" w:eastAsia="zh-CN"/>
              </w:rPr>
            </w:pPr>
            <w:r>
              <w:rPr>
                <w:rFonts w:hint="eastAsia" w:ascii="仿宋" w:hAnsi="仿宋" w:eastAsia="仿宋" w:cs="仿宋"/>
                <w:lang w:val="en-US" w:eastAsia="zh-CN"/>
              </w:rPr>
              <w:t>编号</w:t>
            </w:r>
          </w:p>
        </w:tc>
        <w:tc>
          <w:tcPr>
            <w:tcW w:w="865" w:type="pct"/>
            <w:vAlign w:val="center"/>
          </w:tcPr>
          <w:p w14:paraId="75479793">
            <w:pPr>
              <w:pStyle w:val="12"/>
              <w:jc w:val="center"/>
              <w:rPr>
                <w:rFonts w:hint="eastAsia" w:ascii="仿宋" w:hAnsi="仿宋" w:eastAsia="仿宋" w:cs="仿宋"/>
                <w:lang w:val="en-US" w:eastAsia="zh-CN"/>
              </w:rPr>
            </w:pPr>
            <w:r>
              <w:rPr>
                <w:rFonts w:hint="eastAsia" w:ascii="仿宋" w:hAnsi="仿宋" w:eastAsia="仿宋" w:cs="仿宋"/>
                <w:lang w:val="en-US" w:eastAsia="zh-CN"/>
              </w:rPr>
              <w:t>标的名称</w:t>
            </w:r>
          </w:p>
        </w:tc>
        <w:tc>
          <w:tcPr>
            <w:tcW w:w="1193" w:type="pct"/>
            <w:vAlign w:val="center"/>
          </w:tcPr>
          <w:p w14:paraId="04E8553B">
            <w:pPr>
              <w:pStyle w:val="12"/>
              <w:jc w:val="center"/>
              <w:rPr>
                <w:rFonts w:hint="eastAsia" w:ascii="仿宋" w:hAnsi="仿宋" w:eastAsia="仿宋" w:cs="仿宋"/>
                <w:lang w:val="en-US" w:eastAsia="zh-CN"/>
              </w:rPr>
            </w:pPr>
            <w:r>
              <w:rPr>
                <w:rFonts w:hint="eastAsia" w:ascii="仿宋" w:hAnsi="仿宋" w:eastAsia="仿宋" w:cs="仿宋"/>
                <w:lang w:val="en-US" w:eastAsia="zh-CN"/>
              </w:rPr>
              <w:t>★单价最高限价（元）</w:t>
            </w:r>
          </w:p>
        </w:tc>
        <w:tc>
          <w:tcPr>
            <w:tcW w:w="471" w:type="pct"/>
            <w:vAlign w:val="center"/>
          </w:tcPr>
          <w:p w14:paraId="005A8A52">
            <w:pPr>
              <w:pStyle w:val="12"/>
              <w:jc w:val="center"/>
              <w:rPr>
                <w:rFonts w:hint="eastAsia" w:ascii="仿宋" w:hAnsi="仿宋" w:eastAsia="仿宋" w:cs="仿宋"/>
                <w:lang w:val="en-US" w:eastAsia="zh-CN"/>
              </w:rPr>
            </w:pPr>
            <w:r>
              <w:rPr>
                <w:rFonts w:hint="eastAsia" w:ascii="仿宋" w:hAnsi="仿宋" w:eastAsia="仿宋" w:cs="仿宋"/>
                <w:lang w:val="en-US" w:eastAsia="zh-CN"/>
              </w:rPr>
              <w:t>数量</w:t>
            </w:r>
          </w:p>
        </w:tc>
        <w:tc>
          <w:tcPr>
            <w:tcW w:w="817" w:type="pct"/>
            <w:vAlign w:val="center"/>
          </w:tcPr>
          <w:p w14:paraId="1F8BE7D7">
            <w:pPr>
              <w:pStyle w:val="12"/>
              <w:jc w:val="center"/>
              <w:rPr>
                <w:rFonts w:hint="eastAsia" w:ascii="仿宋" w:hAnsi="仿宋" w:eastAsia="仿宋" w:cs="仿宋"/>
                <w:lang w:val="en-US" w:eastAsia="zh-CN"/>
              </w:rPr>
            </w:pPr>
            <w:r>
              <w:rPr>
                <w:rFonts w:hint="eastAsia" w:ascii="仿宋" w:hAnsi="仿宋" w:eastAsia="仿宋" w:cs="仿宋"/>
                <w:lang w:val="en-US" w:eastAsia="zh-CN"/>
              </w:rPr>
              <w:t>★计量单位</w:t>
            </w:r>
          </w:p>
        </w:tc>
        <w:tc>
          <w:tcPr>
            <w:tcW w:w="1101" w:type="pct"/>
            <w:vAlign w:val="center"/>
          </w:tcPr>
          <w:p w14:paraId="01C98B4E">
            <w:pPr>
              <w:pStyle w:val="12"/>
              <w:jc w:val="center"/>
              <w:rPr>
                <w:rFonts w:hint="eastAsia" w:ascii="仿宋" w:hAnsi="仿宋" w:eastAsia="仿宋" w:cs="仿宋"/>
                <w:lang w:val="en-US" w:eastAsia="zh-CN"/>
              </w:rPr>
            </w:pPr>
            <w:r>
              <w:rPr>
                <w:rFonts w:hint="eastAsia" w:ascii="仿宋" w:hAnsi="仿宋" w:eastAsia="仿宋" w:cs="仿宋"/>
                <w:lang w:val="en-US" w:eastAsia="zh-CN"/>
              </w:rPr>
              <w:t>预算金额/最高限价（每年）（元）</w:t>
            </w:r>
          </w:p>
        </w:tc>
      </w:tr>
      <w:tr w14:paraId="6706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jc w:val="center"/>
        </w:trPr>
        <w:tc>
          <w:tcPr>
            <w:tcW w:w="244" w:type="pct"/>
            <w:vAlign w:val="center"/>
          </w:tcPr>
          <w:p w14:paraId="0A3B8807">
            <w:pPr>
              <w:pStyle w:val="1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7" w:type="pct"/>
            <w:vAlign w:val="center"/>
          </w:tcPr>
          <w:p w14:paraId="43360CEF">
            <w:pPr>
              <w:pStyle w:val="12"/>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865" w:type="pct"/>
            <w:vAlign w:val="center"/>
          </w:tcPr>
          <w:p w14:paraId="3529CCFC">
            <w:pPr>
              <w:spacing w:line="400" w:lineRule="exact"/>
              <w:jc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强脉冲光子治疗仪手具维修服务</w:t>
            </w:r>
          </w:p>
        </w:tc>
        <w:tc>
          <w:tcPr>
            <w:tcW w:w="1193" w:type="pct"/>
            <w:vAlign w:val="center"/>
          </w:tcPr>
          <w:p w14:paraId="60D33F82">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67500</w:t>
            </w:r>
          </w:p>
        </w:tc>
        <w:tc>
          <w:tcPr>
            <w:tcW w:w="471" w:type="pct"/>
            <w:vAlign w:val="center"/>
          </w:tcPr>
          <w:p w14:paraId="208A3618">
            <w:pPr>
              <w:spacing w:line="400" w:lineRule="exact"/>
              <w:jc w:val="center"/>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1</w:t>
            </w:r>
          </w:p>
        </w:tc>
        <w:tc>
          <w:tcPr>
            <w:tcW w:w="817" w:type="pct"/>
            <w:vAlign w:val="center"/>
          </w:tcPr>
          <w:p w14:paraId="3F54466C">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把/次</w:t>
            </w:r>
          </w:p>
        </w:tc>
        <w:tc>
          <w:tcPr>
            <w:tcW w:w="1101" w:type="pct"/>
            <w:vAlign w:val="center"/>
          </w:tcPr>
          <w:p w14:paraId="69E84EBE">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67500</w:t>
            </w:r>
          </w:p>
        </w:tc>
      </w:tr>
      <w:tr w14:paraId="73430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4" w:hRule="atLeast"/>
          <w:jc w:val="center"/>
        </w:trPr>
        <w:tc>
          <w:tcPr>
            <w:tcW w:w="5000" w:type="pct"/>
            <w:gridSpan w:val="7"/>
            <w:vAlign w:val="center"/>
          </w:tcPr>
          <w:p w14:paraId="2C40F191">
            <w:pPr>
              <w:spacing w:line="400" w:lineRule="exact"/>
              <w:jc w:val="both"/>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设备名称：强脉冲光光子治疗仪；</w:t>
            </w:r>
          </w:p>
          <w:p w14:paraId="229B53EB">
            <w:pPr>
              <w:spacing w:line="400" w:lineRule="exact"/>
              <w:jc w:val="both"/>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生产厂家：科医人医疗激光设备贸易（北京）有限公司；</w:t>
            </w:r>
          </w:p>
          <w:p w14:paraId="52F2C8CD">
            <w:pPr>
              <w:spacing w:line="400" w:lineRule="exact"/>
              <w:jc w:val="both"/>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设备型号：M22。</w:t>
            </w:r>
          </w:p>
        </w:tc>
      </w:tr>
    </w:tbl>
    <w:p w14:paraId="50B202E7">
      <w:pPr>
        <w:pStyle w:val="12"/>
        <w:ind w:firstLine="480"/>
        <w:jc w:val="left"/>
        <w:rPr>
          <w:rFonts w:hint="eastAsia" w:ascii="仿宋" w:hAnsi="仿宋" w:eastAsia="仿宋" w:cs="仿宋"/>
        </w:rPr>
      </w:pPr>
    </w:p>
    <w:p w14:paraId="0ED2689D">
      <w:pPr>
        <w:pStyle w:val="12"/>
        <w:ind w:firstLine="480"/>
        <w:jc w:val="left"/>
        <w:rPr>
          <w:rFonts w:hint="eastAsia" w:ascii="仿宋" w:hAnsi="仿宋" w:eastAsia="仿宋" w:cs="仿宋"/>
        </w:rPr>
      </w:pPr>
      <w:r>
        <w:rPr>
          <w:rFonts w:hint="eastAsia" w:ascii="仿宋" w:hAnsi="仿宋" w:eastAsia="仿宋" w:cs="仿宋"/>
          <w:highlight w:val="none"/>
        </w:rPr>
        <w:t>★注：</w:t>
      </w:r>
      <w:r>
        <w:rPr>
          <w:rFonts w:hint="eastAsia" w:ascii="仿宋" w:hAnsi="仿宋" w:eastAsia="仿宋" w:cs="仿宋"/>
          <w:highlight w:val="none"/>
          <w:lang w:eastAsia="zh-CN"/>
        </w:rPr>
        <w:t>竞选人</w:t>
      </w:r>
      <w:r>
        <w:rPr>
          <w:rFonts w:hint="eastAsia" w:ascii="仿宋" w:hAnsi="仿宋" w:eastAsia="仿宋" w:cs="仿宋"/>
          <w:highlight w:val="none"/>
        </w:rPr>
        <w:t>响应产品应当明确品牌和规格型号并指向唯一产品，不能指向唯一产品的，应通过报价表唯一产品说明栏补充说明。</w:t>
      </w:r>
    </w:p>
    <w:p w14:paraId="4FC78A64">
      <w:pPr>
        <w:pStyle w:val="12"/>
        <w:jc w:val="left"/>
        <w:outlineLvl w:val="1"/>
        <w:rPr>
          <w:rFonts w:hint="eastAsia" w:ascii="仿宋" w:hAnsi="仿宋" w:eastAsia="仿宋" w:cs="仿宋"/>
          <w:lang w:eastAsia="zh-CN"/>
        </w:rPr>
      </w:pPr>
      <w:r>
        <w:rPr>
          <w:rFonts w:hint="eastAsia" w:ascii="仿宋" w:hAnsi="仿宋" w:eastAsia="仿宋" w:cs="仿宋"/>
          <w:b/>
          <w:sz w:val="28"/>
          <w:lang w:eastAsia="zh-CN"/>
        </w:rPr>
        <w:t>二、</w:t>
      </w:r>
      <w:r>
        <w:rPr>
          <w:rFonts w:hint="eastAsia" w:ascii="仿宋" w:hAnsi="仿宋" w:eastAsia="仿宋" w:cs="仿宋"/>
          <w:b/>
          <w:sz w:val="28"/>
        </w:rPr>
        <w:t>技术要求</w:t>
      </w:r>
    </w:p>
    <w:p w14:paraId="1BD2093D">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★强脉冲光子治疗仪手具维修服务技术要求：</w:t>
      </w:r>
    </w:p>
    <w:p w14:paraId="7C2E0784">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1.本次采购内容为：用于科医人M22 强脉冲光光子治疗仪的强脉冲手具1个、提供更换服务，质保期内并对该设备进行维护保养；</w:t>
      </w:r>
    </w:p>
    <w:p w14:paraId="220B54F0">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2.能量密度:≤35J/cm；</w:t>
      </w:r>
    </w:p>
    <w:p w14:paraId="6F530141">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3.脉冲数:可调节1、2和3脉冲；</w:t>
      </w:r>
    </w:p>
    <w:p w14:paraId="1E879A8E">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4.脉冲宽度:4ms-20ms、脉冲延迟:5ms-150ms；</w:t>
      </w:r>
    </w:p>
    <w:p w14:paraId="464C4493">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5.脉冲重复频率:最大1.0Hz；</w:t>
      </w:r>
    </w:p>
    <w:p w14:paraId="380F3F3B">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6.皮肤制冷:连续接触性制冷；</w:t>
      </w:r>
    </w:p>
    <w:p w14:paraId="51CF46A0">
      <w:pPr>
        <w:pStyle w:val="12"/>
        <w:spacing w:line="460" w:lineRule="exact"/>
        <w:ind w:firstLine="440" w:firstLineChars="200"/>
        <w:jc w:val="left"/>
        <w:outlineLvl w:val="2"/>
        <w:rPr>
          <w:rFonts w:hint="eastAsia" w:ascii="仿宋" w:hAnsi="仿宋" w:eastAsia="仿宋" w:cs="仿宋"/>
          <w:b/>
          <w:bCs/>
          <w:sz w:val="22"/>
          <w:szCs w:val="22"/>
        </w:rPr>
      </w:pPr>
      <w:r>
        <w:rPr>
          <w:rFonts w:hint="eastAsia" w:ascii="仿宋" w:hAnsi="仿宋" w:eastAsia="仿宋" w:cs="仿宋"/>
          <w:b w:val="0"/>
          <w:bCs w:val="0"/>
          <w:sz w:val="22"/>
          <w:szCs w:val="22"/>
        </w:rPr>
        <w:t>7.供应商所提供的配件必须为无瑕疵的全新件并有相应的检测报告及合格证书，保证更换的配件为原装配件。（</w:t>
      </w:r>
      <w:r>
        <w:rPr>
          <w:rFonts w:hint="eastAsia" w:ascii="仿宋" w:hAnsi="仿宋" w:eastAsia="仿宋" w:cs="仿宋"/>
          <w:b/>
          <w:bCs/>
          <w:sz w:val="22"/>
          <w:szCs w:val="22"/>
        </w:rPr>
        <w:t>提供证明文件及承诺函）</w:t>
      </w:r>
    </w:p>
    <w:p w14:paraId="3303DBDD">
      <w:pPr>
        <w:pStyle w:val="12"/>
        <w:numPr>
          <w:ilvl w:val="-1"/>
          <w:numId w:val="0"/>
        </w:numPr>
        <w:spacing w:line="460" w:lineRule="exact"/>
        <w:ind w:firstLine="440" w:firstLineChars="200"/>
        <w:jc w:val="left"/>
        <w:rPr>
          <w:rFonts w:hint="eastAsia" w:ascii="仿宋" w:hAnsi="仿宋" w:eastAsia="仿宋" w:cs="仿宋"/>
          <w:b/>
          <w:bCs/>
          <w:sz w:val="22"/>
          <w:szCs w:val="22"/>
          <w:lang w:eastAsia="zh-CN"/>
        </w:rPr>
      </w:pPr>
      <w:r>
        <w:rPr>
          <w:rFonts w:hint="eastAsia" w:ascii="仿宋" w:hAnsi="仿宋" w:eastAsia="仿宋" w:cs="仿宋"/>
          <w:b w:val="0"/>
          <w:bCs w:val="0"/>
          <w:sz w:val="22"/>
          <w:szCs w:val="22"/>
          <w:lang w:val="en-US" w:eastAsia="zh-CN"/>
        </w:rPr>
        <w:t>8.</w:t>
      </w:r>
      <w:r>
        <w:rPr>
          <w:rFonts w:hint="eastAsia" w:ascii="仿宋" w:hAnsi="仿宋" w:eastAsia="仿宋" w:cs="仿宋"/>
          <w:b w:val="0"/>
          <w:bCs w:val="0"/>
          <w:sz w:val="22"/>
          <w:szCs w:val="22"/>
        </w:rPr>
        <w:t>质量保障：手具使用未超过1000次脉冲免费更换；若超过1000脉冲但低于90000次脉冲，更换之前须支付已使用脉冲次数的费用（每脉冲的费用按手具标准报价除以90000次脉冲计算），超过90000次脉冲或发货超过3年，质保期终止。质保期内出现质量问题，</w:t>
      </w:r>
      <w:r>
        <w:rPr>
          <w:rFonts w:hint="eastAsia" w:ascii="仿宋" w:hAnsi="仿宋" w:eastAsia="仿宋" w:cs="仿宋"/>
          <w:b w:val="0"/>
          <w:bCs w:val="0"/>
          <w:sz w:val="22"/>
          <w:szCs w:val="22"/>
          <w:lang w:eastAsia="zh-CN"/>
        </w:rPr>
        <w:t>成交</w:t>
      </w:r>
      <w:r>
        <w:rPr>
          <w:rFonts w:hint="eastAsia" w:ascii="仿宋" w:hAnsi="仿宋" w:eastAsia="仿宋" w:cs="仿宋"/>
          <w:b w:val="0"/>
          <w:bCs w:val="0"/>
          <w:sz w:val="22"/>
          <w:szCs w:val="22"/>
        </w:rPr>
        <w:t>供应商在接到通知后应在不超过24小时内响应并提供电话技术支持，电话技术支持未能使设备恢复正常运转，维修人员应在不超过48小时内响应到场，并在随后不超过48小时内完成维修或者更换，并承担修理调换的费用</w:t>
      </w:r>
      <w:r>
        <w:rPr>
          <w:rFonts w:hint="eastAsia" w:ascii="仿宋" w:hAnsi="仿宋" w:eastAsia="仿宋" w:cs="仿宋"/>
          <w:b/>
          <w:bCs/>
          <w:sz w:val="22"/>
          <w:szCs w:val="22"/>
          <w:lang w:eastAsia="zh-CN"/>
        </w:rPr>
        <w:t>。</w:t>
      </w:r>
    </w:p>
    <w:p w14:paraId="475DEB12">
      <w:pPr>
        <w:pStyle w:val="12"/>
        <w:numPr>
          <w:ilvl w:val="-1"/>
          <w:numId w:val="0"/>
        </w:numPr>
        <w:spacing w:line="460" w:lineRule="exact"/>
        <w:ind w:firstLine="0" w:firstLineChars="0"/>
        <w:jc w:val="left"/>
        <w:rPr>
          <w:rFonts w:hint="eastAsia" w:ascii="仿宋" w:hAnsi="仿宋" w:eastAsia="仿宋" w:cs="仿宋"/>
          <w:b/>
          <w:bCs/>
          <w:color w:val="000000"/>
          <w:sz w:val="28"/>
          <w:szCs w:val="28"/>
          <w:lang w:val="en-US" w:eastAsia="zh-CN"/>
        </w:rPr>
      </w:pPr>
      <w:r>
        <w:rPr>
          <w:rFonts w:hint="eastAsia" w:ascii="仿宋" w:hAnsi="仿宋" w:eastAsia="仿宋" w:cs="仿宋"/>
          <w:b/>
          <w:bCs/>
          <w:sz w:val="24"/>
          <w:szCs w:val="24"/>
        </w:rPr>
        <w:t>★</w:t>
      </w:r>
      <w:r>
        <w:rPr>
          <w:rFonts w:hint="eastAsia" w:ascii="仿宋" w:hAnsi="仿宋" w:eastAsia="仿宋" w:cs="仿宋"/>
          <w:b/>
          <w:sz w:val="28"/>
          <w:lang w:eastAsia="zh-CN"/>
        </w:rPr>
        <w:t>三、</w:t>
      </w:r>
      <w:r>
        <w:rPr>
          <w:rFonts w:hint="eastAsia" w:ascii="仿宋" w:hAnsi="仿宋" w:eastAsia="仿宋" w:cs="仿宋"/>
          <w:b/>
          <w:sz w:val="28"/>
          <w:lang w:val="en-US" w:eastAsia="zh-CN"/>
        </w:rPr>
        <w:t>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00B506B4">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2"/>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服务地点</w:t>
      </w:r>
    </w:p>
    <w:p w14:paraId="09E5F14D">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2"/>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服务地点：内江市第一人民医院指定地点。</w:t>
      </w:r>
    </w:p>
    <w:p w14:paraId="07499962">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rPr>
        <w:t>.付款方法和条件</w:t>
      </w:r>
    </w:p>
    <w:p w14:paraId="245A01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（1）结算方式：由双方协商决定。</w:t>
      </w:r>
    </w:p>
    <w:p w14:paraId="1EFAFBD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（2）成交价格包含成本、运输、包装、培训、配送、税费及其他附加费用。</w:t>
      </w:r>
    </w:p>
    <w:p w14:paraId="77E037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3</w:t>
      </w:r>
      <w:r>
        <w:rPr>
          <w:rFonts w:hint="eastAsia" w:ascii="仿宋" w:hAnsi="仿宋" w:eastAsia="仿宋" w:cs="仿宋"/>
          <w:b w:val="0"/>
          <w:bCs w:val="0"/>
          <w:color w:val="000000"/>
          <w:sz w:val="22"/>
          <w:szCs w:val="22"/>
        </w:rPr>
        <w:t>.验收</w:t>
      </w:r>
    </w:p>
    <w:p w14:paraId="01DE28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（1）按照《财政部关于进一步加强政府采购需求和履约验收管理的指导意见》（财库〔2016〕205号）的要求以及采购人</w:t>
      </w:r>
      <w:r>
        <w:rPr>
          <w:rFonts w:hint="eastAsia" w:ascii="仿宋" w:hAnsi="仿宋" w:eastAsia="仿宋" w:cs="仿宋"/>
          <w:b w:val="0"/>
          <w:bCs w:val="0"/>
          <w:color w:val="000000"/>
          <w:sz w:val="22"/>
          <w:szCs w:val="22"/>
          <w:lang w:eastAsia="zh-CN"/>
        </w:rPr>
        <w:t>竞选</w:t>
      </w:r>
      <w:r>
        <w:rPr>
          <w:rFonts w:hint="eastAsia" w:ascii="仿宋" w:hAnsi="仿宋" w:eastAsia="仿宋" w:cs="仿宋"/>
          <w:b w:val="0"/>
          <w:bCs w:val="0"/>
          <w:color w:val="000000"/>
          <w:sz w:val="22"/>
          <w:szCs w:val="22"/>
        </w:rPr>
        <w:t>文件的质量要求和技术指标、</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的</w:t>
      </w:r>
      <w:r>
        <w:rPr>
          <w:rFonts w:hint="eastAsia" w:ascii="仿宋" w:hAnsi="仿宋" w:eastAsia="仿宋" w:cs="仿宋"/>
          <w:b w:val="0"/>
          <w:bCs w:val="0"/>
          <w:color w:val="000000"/>
          <w:sz w:val="22"/>
          <w:szCs w:val="22"/>
          <w:lang w:eastAsia="zh-CN"/>
        </w:rPr>
        <w:t>响应</w:t>
      </w:r>
      <w:r>
        <w:rPr>
          <w:rFonts w:hint="eastAsia" w:ascii="仿宋" w:hAnsi="仿宋" w:eastAsia="仿宋" w:cs="仿宋"/>
          <w:b w:val="0"/>
          <w:bCs w:val="0"/>
          <w:color w:val="000000"/>
          <w:sz w:val="22"/>
          <w:szCs w:val="22"/>
        </w:rPr>
        <w:t>文件及承诺（若有）、国家（行业）标准、采购合同约定标准进行验收；</w:t>
      </w:r>
    </w:p>
    <w:p w14:paraId="19F7C7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承担，验收期限相应顺延；</w:t>
      </w:r>
    </w:p>
    <w:p w14:paraId="3A25601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（3）若所提供货物不符合验收标准，</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经过2次维修或2次调换后仍不能达到验收质量标准，则视为验收不合格，采购人有权全部（或部分）退货或解除合同。接到采购人退货通知，</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除应及时运走采购人退还的货物外（若涉及费用或损失均由中标人自行承担），还应向采购人承担相应的违约责任。</w:t>
      </w:r>
    </w:p>
    <w:p w14:paraId="63ED11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（4）其他未尽事宜严格按照《财政部关于进一步加强政府采购需求和履约验收管理的指导意见》（财库〔2016〕205号）的要求进行。</w:t>
      </w:r>
    </w:p>
    <w:p w14:paraId="31C359C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（5）本项目内包含的内容须经申请科室和归口管理科室同意，由归口管理科室确认后，中标人方可进行相关维保服务，维保结束后由申请科室和归口管理科室验收。</w:t>
      </w:r>
    </w:p>
    <w:p w14:paraId="5129AB2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4.供应商所提供的器械零件的生产厂家、品种、规格型号不符合医院要求的，医院有权拒绝安装使用且不承担违约责任。</w:t>
      </w:r>
    </w:p>
    <w:p w14:paraId="207B2D6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lang w:eastAsia="zh-CN"/>
        </w:rPr>
      </w:pPr>
      <w:r>
        <w:rPr>
          <w:rFonts w:hint="eastAsia" w:ascii="仿宋" w:hAnsi="仿宋" w:eastAsia="仿宋" w:cs="仿宋"/>
          <w:b w:val="0"/>
          <w:bCs w:val="0"/>
          <w:color w:val="000000"/>
          <w:sz w:val="22"/>
          <w:szCs w:val="22"/>
        </w:rPr>
        <w:t>5.提供服务期间，供应商严格遵守医院的规章制度，尽职尽责，提供最优质的服务，应尽安全注意义务，避免不必要的损失，维保期间因供应商人员造成医院或者第三人损失的，由供应商承担全部责任</w:t>
      </w:r>
      <w:r>
        <w:rPr>
          <w:rFonts w:hint="eastAsia" w:ascii="仿宋" w:hAnsi="仿宋" w:eastAsia="仿宋" w:cs="仿宋"/>
          <w:b w:val="0"/>
          <w:bCs w:val="0"/>
          <w:color w:val="000000"/>
          <w:sz w:val="22"/>
          <w:szCs w:val="22"/>
          <w:lang w:eastAsia="zh-CN"/>
        </w:rPr>
        <w:t>。</w:t>
      </w:r>
    </w:p>
    <w:p w14:paraId="77C6361B">
      <w:pPr>
        <w:pStyle w:val="12"/>
        <w:spacing w:line="460" w:lineRule="exact"/>
        <w:ind w:firstLine="0" w:firstLineChars="0"/>
        <w:jc w:val="left"/>
        <w:outlineLvl w:val="1"/>
        <w:rPr>
          <w:rFonts w:hint="eastAsia" w:ascii="仿宋" w:hAnsi="仿宋" w:eastAsia="仿宋" w:cs="仿宋"/>
          <w:bCs/>
          <w:sz w:val="22"/>
          <w:szCs w:val="22"/>
        </w:rPr>
      </w:pPr>
      <w:r>
        <w:rPr>
          <w:rFonts w:hint="eastAsia" w:ascii="仿宋" w:hAnsi="仿宋" w:eastAsia="仿宋" w:cs="仿宋"/>
          <w:b/>
          <w:bCs w:val="0"/>
          <w:sz w:val="28"/>
          <w:szCs w:val="28"/>
          <w:lang w:val="en-US" w:eastAsia="zh-CN"/>
        </w:rPr>
        <w:t>四、</w:t>
      </w:r>
      <w:r>
        <w:rPr>
          <w:rFonts w:hint="eastAsia" w:ascii="仿宋" w:hAnsi="仿宋" w:eastAsia="仿宋" w:cs="仿宋"/>
          <w:b/>
          <w:bCs w:val="0"/>
          <w:sz w:val="28"/>
          <w:szCs w:val="28"/>
        </w:rPr>
        <w:t>违约责任与解决争议的方法：</w:t>
      </w:r>
    </w:p>
    <w:p w14:paraId="78EEC285">
      <w:pPr>
        <w:pStyle w:val="12"/>
        <w:spacing w:line="460" w:lineRule="exact"/>
        <w:ind w:firstLine="440" w:firstLineChars="200"/>
        <w:jc w:val="left"/>
        <w:outlineLvl w:val="1"/>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（1）违约责任</w:t>
      </w:r>
    </w:p>
    <w:p w14:paraId="50A26679">
      <w:pPr>
        <w:pStyle w:val="12"/>
        <w:spacing w:line="460" w:lineRule="exac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1</w:t>
      </w:r>
      <w:r>
        <w:rPr>
          <w:rFonts w:hint="eastAsia" w:ascii="仿宋" w:hAnsi="仿宋" w:eastAsia="仿宋" w:cs="仿宋"/>
          <w:b w:val="0"/>
          <w:bCs/>
          <w:sz w:val="22"/>
          <w:szCs w:val="22"/>
          <w:lang w:eastAsia="zh-CN"/>
        </w:rPr>
        <w:t>）成交供应商逾期15日内不能提供采购人所需货物或服务的，应向采购人每日支付该批次货款千分之三的违约金。</w:t>
      </w:r>
    </w:p>
    <w:p w14:paraId="078B581A">
      <w:pPr>
        <w:pStyle w:val="12"/>
        <w:spacing w:line="460" w:lineRule="exac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2</w:t>
      </w:r>
      <w:r>
        <w:rPr>
          <w:rFonts w:hint="eastAsia" w:ascii="仿宋" w:hAnsi="仿宋" w:eastAsia="仿宋" w:cs="仿宋"/>
          <w:b w:val="0"/>
          <w:bCs/>
          <w:sz w:val="22"/>
          <w:szCs w:val="22"/>
          <w:lang w:eastAsia="zh-CN"/>
        </w:rPr>
        <w:t>）成交供应商逾期15日及以上不能交付以上产品的，视同不能供货，须向采购人支付该批次货款的10%的违约金，同时采购人可以单方面解除采购合同。</w:t>
      </w:r>
    </w:p>
    <w:p w14:paraId="03D36EF4">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lang w:eastAsia="zh-CN"/>
        </w:rPr>
        <w:t>）若因成交供应商原因造成采购人被监管部门通报三次及以上的或者造成采购人违规采购，采购人有权单方面解除采购合同。同时，采购人有权要求中标人支付该批货物价款20%的违约金。</w:t>
      </w:r>
    </w:p>
    <w:p w14:paraId="36E7BF8F">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4</w:t>
      </w:r>
      <w:r>
        <w:rPr>
          <w:rFonts w:hint="eastAsia" w:ascii="仿宋" w:hAnsi="仿宋" w:eastAsia="仿宋" w:cs="仿宋"/>
          <w:b w:val="0"/>
          <w:bCs/>
          <w:sz w:val="22"/>
          <w:szCs w:val="22"/>
          <w:lang w:eastAsia="zh-CN"/>
        </w:rPr>
        <w:t>）成交供应商销售的产品若发生严重医疗不良事件或被国家法定检测机构检测为不合格产品，视为成交供应商违约导致不能实现采购合同目的，采购人有权单方面解除采购合同，并要求成交供应商限期收回不合格产品，并要求成交供应商需承担合同价款20%的违约金，违约金不足以弥补采购人损失的，成交供应商还应当承补足。</w:t>
      </w:r>
    </w:p>
    <w:p w14:paraId="4C49D9B4">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eastAsia="zh-CN"/>
        </w:rPr>
        <w:t>即使产品已经验收入库（或安装调试完毕）后，采购人才发现产品为不合格产品的，也视为成交供应商违约，成交供应商应当承担本条约定的责任。同时采购人有权退回库存产品。</w:t>
      </w:r>
    </w:p>
    <w:p w14:paraId="6C21DCBE">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5</w:t>
      </w:r>
      <w:r>
        <w:rPr>
          <w:rFonts w:hint="eastAsia" w:ascii="仿宋" w:hAnsi="仿宋" w:eastAsia="仿宋" w:cs="仿宋"/>
          <w:b w:val="0"/>
          <w:bCs/>
          <w:sz w:val="22"/>
          <w:szCs w:val="22"/>
          <w:lang w:eastAsia="zh-CN"/>
        </w:rPr>
        <w:t>）若根据法律规定或本协议约定产生采购人退、换货或拒绝收货情形，由成交供应商承担退换货产生的各项税、费或其他支出。</w:t>
      </w:r>
    </w:p>
    <w:p w14:paraId="1E7A33EF">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lang w:eastAsia="zh-CN"/>
        </w:rPr>
        <w:t>）成交供应商不能保证及时供货，除应当向采购人承担违约责任外，采购人仍有权单方面解除采购合同。</w:t>
      </w:r>
    </w:p>
    <w:p w14:paraId="2B7F045B">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7</w:t>
      </w:r>
      <w:r>
        <w:rPr>
          <w:rFonts w:hint="eastAsia" w:ascii="仿宋" w:hAnsi="仿宋" w:eastAsia="仿宋" w:cs="仿宋"/>
          <w:b w:val="0"/>
          <w:bCs/>
          <w:sz w:val="22"/>
          <w:szCs w:val="22"/>
          <w:lang w:eastAsia="zh-CN"/>
        </w:rPr>
        <w:t>）因成交供应商提供的产品不合格造成采购人或第三人人身损害或财产损失的，由成交供应商承担赔偿责任。</w:t>
      </w:r>
    </w:p>
    <w:p w14:paraId="60ED4830">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8</w:t>
      </w:r>
      <w:r>
        <w:rPr>
          <w:rFonts w:hint="eastAsia" w:ascii="仿宋" w:hAnsi="仿宋" w:eastAsia="仿宋" w:cs="仿宋"/>
          <w:b w:val="0"/>
          <w:bCs/>
          <w:sz w:val="22"/>
          <w:szCs w:val="22"/>
          <w:lang w:eastAsia="zh-CN"/>
        </w:rPr>
        <w:t>）若因成交供应商原因造成采购人挂网执行存在问题以及线上支付不及时、造成采购人未挂网采购的或者存在其他问题的，成交供应商应承担违约责任，且采购人有权要求成交供应商支付该批货物价款20%的违约金，采购人有权单方面解除合同。</w:t>
      </w:r>
    </w:p>
    <w:p w14:paraId="1584151F">
      <w:pPr>
        <w:spacing w:line="460" w:lineRule="atLeast"/>
        <w:ind w:firstLine="442" w:firstLineChars="200"/>
        <w:jc w:val="left"/>
        <w:textAlignment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rPr>
        <w:t>解决合同纠纷的方式</w:t>
      </w:r>
    </w:p>
    <w:p w14:paraId="3EFA8C00">
      <w:pPr>
        <w:spacing w:line="460" w:lineRule="atLeast"/>
        <w:ind w:firstLine="440" w:firstLineChars="200"/>
        <w:jc w:val="left"/>
        <w:textAlignment w:val="center"/>
        <w:rPr>
          <w:rFonts w:hint="eastAsia" w:ascii="仿宋" w:hAnsi="仿宋" w:eastAsia="仿宋" w:cs="仿宋"/>
          <w:color w:val="000000"/>
          <w:kern w:val="0"/>
          <w:sz w:val="22"/>
          <w:szCs w:val="22"/>
          <w:u w:val="none"/>
          <w:lang w:bidi="ar"/>
        </w:rPr>
      </w:pPr>
      <w:r>
        <w:rPr>
          <w:rFonts w:hint="eastAsia" w:ascii="仿宋" w:hAnsi="仿宋" w:eastAsia="仿宋" w:cs="仿宋"/>
          <w:color w:val="000000"/>
          <w:kern w:val="0"/>
          <w:sz w:val="22"/>
          <w:szCs w:val="22"/>
          <w:u w:val="none"/>
          <w:lang w:val="en-US" w:eastAsia="zh-CN" w:bidi="ar"/>
        </w:rPr>
        <w:t>1）</w:t>
      </w:r>
      <w:r>
        <w:rPr>
          <w:rFonts w:hint="eastAsia" w:ascii="仿宋" w:hAnsi="仿宋" w:eastAsia="仿宋" w:cs="仿宋"/>
          <w:color w:val="000000"/>
          <w:kern w:val="0"/>
          <w:sz w:val="22"/>
          <w:szCs w:val="22"/>
          <w:u w:val="none"/>
          <w:lang w:bidi="ar"/>
        </w:rPr>
        <w:t>因货物的质量问题发生的争议，由法定质量鉴定机构或其认可的质量鉴定机构进行质量鉴定。货物符合标准的，鉴定费由采购人承担；货物不符合质量标准的，鉴定费由</w:t>
      </w:r>
      <w:r>
        <w:rPr>
          <w:rFonts w:hint="eastAsia" w:ascii="仿宋" w:hAnsi="仿宋" w:eastAsia="仿宋" w:cs="仿宋"/>
          <w:color w:val="000000"/>
          <w:kern w:val="0"/>
          <w:sz w:val="22"/>
          <w:szCs w:val="22"/>
          <w:u w:val="none"/>
          <w:lang w:eastAsia="zh-CN" w:bidi="ar"/>
        </w:rPr>
        <w:t>成交供应商</w:t>
      </w:r>
      <w:r>
        <w:rPr>
          <w:rFonts w:hint="eastAsia" w:ascii="仿宋" w:hAnsi="仿宋" w:eastAsia="仿宋" w:cs="仿宋"/>
          <w:color w:val="000000"/>
          <w:kern w:val="0"/>
          <w:sz w:val="22"/>
          <w:szCs w:val="22"/>
          <w:u w:val="none"/>
          <w:lang w:bidi="ar"/>
        </w:rPr>
        <w:t>承担。</w:t>
      </w:r>
    </w:p>
    <w:p w14:paraId="565CFA7E">
      <w:pPr>
        <w:spacing w:line="460" w:lineRule="atLeast"/>
        <w:ind w:firstLine="440" w:firstLineChars="200"/>
        <w:jc w:val="left"/>
        <w:textAlignment w:val="center"/>
        <w:rPr>
          <w:rFonts w:hint="default" w:ascii="仿宋" w:hAnsi="仿宋" w:eastAsia="仿宋" w:cs="仿宋"/>
          <w:color w:val="000000"/>
          <w:kern w:val="0"/>
          <w:sz w:val="22"/>
          <w:szCs w:val="22"/>
          <w:highlight w:val="none"/>
          <w:u w:val="none"/>
          <w:lang w:val="en-US" w:eastAsia="zh-CN" w:bidi="ar"/>
        </w:rPr>
      </w:pPr>
      <w:r>
        <w:rPr>
          <w:rFonts w:hint="eastAsia" w:ascii="仿宋" w:hAnsi="仿宋" w:eastAsia="仿宋" w:cs="仿宋"/>
          <w:color w:val="000000"/>
          <w:kern w:val="0"/>
          <w:sz w:val="22"/>
          <w:szCs w:val="22"/>
          <w:u w:val="none"/>
          <w:lang w:val="en-US" w:eastAsia="zh-CN" w:bidi="ar"/>
        </w:rPr>
        <w:t>2</w:t>
      </w:r>
      <w:r>
        <w:rPr>
          <w:rFonts w:hint="eastAsia" w:ascii="仿宋" w:hAnsi="仿宋" w:eastAsia="仿宋" w:cs="仿宋"/>
          <w:color w:val="000000"/>
          <w:kern w:val="0"/>
          <w:sz w:val="22"/>
          <w:szCs w:val="22"/>
          <w:u w:val="none"/>
          <w:lang w:eastAsia="zh-CN" w:bidi="ar"/>
        </w:rPr>
        <w:t>）</w:t>
      </w:r>
      <w:r>
        <w:rPr>
          <w:rFonts w:hint="eastAsia" w:ascii="仿宋" w:hAnsi="仿宋" w:eastAsia="仿宋" w:cs="仿宋"/>
          <w:color w:val="000000"/>
          <w:kern w:val="0"/>
          <w:sz w:val="22"/>
          <w:szCs w:val="22"/>
          <w:u w:val="none"/>
          <w:lang w:bidi="ar"/>
        </w:rPr>
        <w:t>合同履行期间，若双方发生争议，可协商或由有关部门调解解决，协商或调解不成的，可向采购人所在地人民法院依法提起诉讼。</w:t>
      </w:r>
    </w:p>
    <w:p w14:paraId="73BBDC5B">
      <w:pPr>
        <w:pStyle w:val="12"/>
        <w:spacing w:line="460" w:lineRule="atLeast"/>
        <w:ind w:firstLine="480"/>
        <w:jc w:val="left"/>
        <w:rPr>
          <w:rFonts w:hint="eastAsia" w:ascii="Times New Roman" w:hAnsi="Times New Roman" w:eastAsia="仿宋" w:cs="Times New Roman"/>
          <w:color w:val="auto"/>
          <w:sz w:val="24"/>
          <w:szCs w:val="24"/>
          <w:highlight w:val="none"/>
          <w:shd w:val="clear" w:color="auto" w:fill="auto"/>
          <w:lang w:val="en-US" w:eastAsia="zh-CN"/>
        </w:rPr>
      </w:pPr>
      <w:r>
        <w:rPr>
          <w:rFonts w:hint="eastAsia" w:ascii="仿宋" w:hAnsi="仿宋" w:eastAsia="仿宋" w:cs="仿宋"/>
          <w:b/>
          <w:bCs/>
          <w:sz w:val="24"/>
          <w:szCs w:val="24"/>
          <w:highlight w:val="none"/>
          <w:lang w:val="en-US" w:eastAsia="zh-CN"/>
        </w:rPr>
        <w:t>五、合同</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kern w:val="0"/>
          <w:sz w:val="22"/>
          <w:szCs w:val="22"/>
          <w:highlight w:val="none"/>
          <w:u w:val="none"/>
          <w:lang w:val="en-US" w:eastAsia="zh-CN" w:bidi="ar"/>
        </w:rPr>
        <w:t>1年；</w:t>
      </w:r>
    </w:p>
    <w:p w14:paraId="39CD1221">
      <w:pPr>
        <w:pStyle w:val="12"/>
        <w:spacing w:line="460" w:lineRule="exact"/>
        <w:ind w:firstLine="482"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六、合同支付方式：</w:t>
      </w:r>
      <w:r>
        <w:rPr>
          <w:rFonts w:hint="eastAsia" w:ascii="仿宋" w:hAnsi="仿宋" w:eastAsia="仿宋" w:cs="仿宋"/>
          <w:color w:val="000000"/>
          <w:kern w:val="0"/>
          <w:sz w:val="22"/>
          <w:szCs w:val="22"/>
          <w:highlight w:val="none"/>
          <w:u w:val="none"/>
          <w:lang w:val="en-US" w:eastAsia="zh-CN" w:bidi="ar"/>
        </w:rPr>
        <w:t>双方协商确定。</w:t>
      </w:r>
    </w:p>
    <w:p w14:paraId="18121E5C">
      <w:pPr>
        <w:pStyle w:val="12"/>
        <w:spacing w:line="460" w:lineRule="exact"/>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七、履约验收程序：</w:t>
      </w:r>
      <w:r>
        <w:rPr>
          <w:rFonts w:hint="eastAsia" w:ascii="仿宋" w:hAnsi="仿宋" w:eastAsia="仿宋" w:cs="仿宋"/>
          <w:b w:val="0"/>
          <w:bCs w:val="0"/>
          <w:kern w:val="0"/>
          <w:sz w:val="24"/>
          <w:szCs w:val="24"/>
          <w:highlight w:val="none"/>
          <w:u w:val="none"/>
          <w:lang w:val="en-US" w:eastAsia="zh-CN" w:bidi="ar"/>
        </w:rPr>
        <w:t>分批次验收。</w:t>
      </w:r>
    </w:p>
    <w:p w14:paraId="32FE3C95">
      <w:pPr>
        <w:pStyle w:val="12"/>
        <w:spacing w:line="460" w:lineRule="exact"/>
        <w:ind w:firstLine="482" w:firstLineChars="200"/>
        <w:jc w:val="left"/>
        <w:rPr>
          <w:rFonts w:hint="eastAsia" w:ascii="仿宋" w:hAnsi="仿宋" w:eastAsia="仿宋" w:cs="仿宋"/>
          <w:b w:val="0"/>
          <w:bCs w:val="0"/>
          <w:sz w:val="24"/>
          <w:szCs w:val="24"/>
          <w:highlight w:val="none"/>
          <w:u w:val="none"/>
          <w:lang w:eastAsia="zh-CN" w:bidi="ar"/>
        </w:rPr>
      </w:pPr>
      <w:r>
        <w:rPr>
          <w:rFonts w:hint="eastAsia" w:ascii="仿宋" w:hAnsi="仿宋" w:eastAsia="仿宋" w:cs="仿宋"/>
          <w:b/>
          <w:bCs/>
          <w:sz w:val="24"/>
          <w:szCs w:val="24"/>
          <w:highlight w:val="none"/>
          <w:lang w:val="en-US" w:eastAsia="zh-CN"/>
        </w:rPr>
        <w:t>八、履约验收时间：</w:t>
      </w:r>
      <w:r>
        <w:rPr>
          <w:rFonts w:hint="eastAsia" w:ascii="仿宋" w:hAnsi="仿宋" w:eastAsia="仿宋" w:cs="仿宋"/>
          <w:b w:val="0"/>
          <w:bCs w:val="0"/>
          <w:kern w:val="0"/>
          <w:sz w:val="24"/>
          <w:szCs w:val="24"/>
          <w:highlight w:val="none"/>
          <w:u w:val="none"/>
          <w:lang w:val="en-US" w:eastAsia="zh-CN" w:bidi="ar"/>
        </w:rPr>
        <w:t>合同期限内，根据采购人要求完成送货、验收入库视为验收完成。</w:t>
      </w:r>
      <w:r>
        <w:rPr>
          <w:rFonts w:hint="eastAsia" w:ascii="仿宋" w:hAnsi="仿宋" w:eastAsia="仿宋" w:cs="仿宋"/>
          <w:b w:val="0"/>
          <w:bCs w:val="0"/>
          <w:kern w:val="0"/>
          <w:sz w:val="24"/>
          <w:szCs w:val="24"/>
          <w:highlight w:val="none"/>
          <w:u w:val="none"/>
          <w:lang w:val="en-US" w:eastAsia="zh-CN" w:bidi="ar"/>
        </w:rPr>
        <w:br w:type="textWrapping"/>
      </w: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九、</w:t>
      </w:r>
      <w:r>
        <w:rPr>
          <w:rFonts w:hint="eastAsia" w:ascii="仿宋" w:hAnsi="仿宋" w:eastAsia="仿宋" w:cs="仿宋"/>
          <w:b/>
          <w:bCs/>
          <w:sz w:val="24"/>
          <w:szCs w:val="24"/>
          <w:highlight w:val="none"/>
          <w:u w:val="none"/>
          <w:lang w:eastAsia="zh-CN" w:bidi="ar"/>
        </w:rPr>
        <w:t>技术履约验收内容：</w:t>
      </w:r>
      <w:r>
        <w:rPr>
          <w:rFonts w:hint="eastAsia" w:ascii="仿宋" w:hAnsi="仿宋" w:eastAsia="仿宋" w:cs="仿宋"/>
          <w:b w:val="0"/>
          <w:bCs w:val="0"/>
          <w:sz w:val="24"/>
          <w:szCs w:val="24"/>
          <w:highlight w:val="none"/>
          <w:u w:val="none"/>
          <w:lang w:eastAsia="zh-CN" w:bidi="ar"/>
        </w:rPr>
        <w:t>采购人按照本项目技术要求进行验收。</w:t>
      </w:r>
    </w:p>
    <w:p w14:paraId="4F9EE2C2">
      <w:pPr>
        <w:pStyle w:val="12"/>
        <w:spacing w:line="460" w:lineRule="exact"/>
        <w:ind w:firstLine="240" w:firstLineChars="100"/>
        <w:jc w:val="left"/>
        <w:rPr>
          <w:rFonts w:hint="eastAsia" w:ascii="仿宋" w:hAnsi="仿宋" w:eastAsia="仿宋" w:cs="仿宋"/>
          <w:b w:val="0"/>
          <w:bCs w:val="0"/>
          <w:sz w:val="24"/>
          <w:szCs w:val="24"/>
          <w:highlight w:val="none"/>
          <w:u w:val="none"/>
          <w:lang w:eastAsia="zh-CN" w:bidi="ar"/>
        </w:rPr>
      </w:pP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十、商务</w:t>
      </w:r>
      <w:r>
        <w:rPr>
          <w:rFonts w:hint="eastAsia" w:ascii="仿宋" w:hAnsi="仿宋" w:eastAsia="仿宋" w:cs="仿宋"/>
          <w:b/>
          <w:bCs/>
          <w:sz w:val="24"/>
          <w:szCs w:val="24"/>
          <w:highlight w:val="none"/>
          <w:u w:val="none"/>
          <w:lang w:eastAsia="zh-CN" w:bidi="ar"/>
        </w:rPr>
        <w:t>履约验收内容：</w:t>
      </w:r>
      <w:r>
        <w:rPr>
          <w:rFonts w:hint="eastAsia" w:ascii="仿宋" w:hAnsi="仿宋" w:eastAsia="仿宋" w:cs="仿宋"/>
          <w:b w:val="0"/>
          <w:bCs w:val="0"/>
          <w:sz w:val="24"/>
          <w:szCs w:val="24"/>
          <w:highlight w:val="none"/>
          <w:u w:val="none"/>
          <w:lang w:eastAsia="zh-CN" w:bidi="ar"/>
        </w:rPr>
        <w:t>采购人按照本项目商务要求进行验收。</w:t>
      </w:r>
    </w:p>
    <w:p w14:paraId="14F318C7">
      <w:pPr>
        <w:pStyle w:val="12"/>
        <w:spacing w:line="460" w:lineRule="exact"/>
        <w:ind w:firstLine="240" w:firstLineChars="100"/>
        <w:jc w:val="left"/>
      </w:pP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十一、履约验收标准：</w:t>
      </w:r>
      <w:r>
        <w:rPr>
          <w:rFonts w:hint="eastAsia" w:ascii="仿宋" w:hAnsi="仿宋" w:eastAsia="仿宋" w:cs="仿宋"/>
          <w:b w:val="0"/>
          <w:bCs w:val="0"/>
          <w:sz w:val="24"/>
          <w:szCs w:val="24"/>
          <w:highlight w:val="none"/>
          <w:lang w:eastAsia="zh-CN"/>
        </w:rPr>
        <w:t>采购人按照本项目合同要求进行验收。</w:t>
      </w:r>
    </w:p>
    <w:sectPr>
      <w:footerReference r:id="rId3" w:type="default"/>
      <w:pgSz w:w="11906" w:h="16838"/>
      <w:pgMar w:top="1134" w:right="1134"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7C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BB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DBB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28D5"/>
    <w:rsid w:val="06C23411"/>
    <w:rsid w:val="07E8502A"/>
    <w:rsid w:val="0A766B83"/>
    <w:rsid w:val="0B3D3F64"/>
    <w:rsid w:val="0F052A35"/>
    <w:rsid w:val="10F5107D"/>
    <w:rsid w:val="113A4C18"/>
    <w:rsid w:val="15EB593E"/>
    <w:rsid w:val="1AFA282C"/>
    <w:rsid w:val="1F1E7FC0"/>
    <w:rsid w:val="25CA383D"/>
    <w:rsid w:val="36E10B0E"/>
    <w:rsid w:val="3B7E28D5"/>
    <w:rsid w:val="3EBA43F3"/>
    <w:rsid w:val="3F79605C"/>
    <w:rsid w:val="45274DC0"/>
    <w:rsid w:val="4A636B55"/>
    <w:rsid w:val="4AC565F9"/>
    <w:rsid w:val="4BCA386C"/>
    <w:rsid w:val="4C4E47FF"/>
    <w:rsid w:val="4ECC264C"/>
    <w:rsid w:val="50245B70"/>
    <w:rsid w:val="532F1005"/>
    <w:rsid w:val="543C5B7E"/>
    <w:rsid w:val="58E80082"/>
    <w:rsid w:val="5B340A1B"/>
    <w:rsid w:val="5C1B076F"/>
    <w:rsid w:val="6340696D"/>
    <w:rsid w:val="651C4A2F"/>
    <w:rsid w:val="68EE7AC4"/>
    <w:rsid w:val="69B14171"/>
    <w:rsid w:val="6E2C2368"/>
    <w:rsid w:val="7412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18"/>
      <w:szCs w:val="20"/>
    </w:rPr>
  </w:style>
  <w:style w:type="paragraph" w:styleId="3">
    <w:name w:val="Body Text"/>
    <w:basedOn w:val="1"/>
    <w:next w:val="4"/>
    <w:qFormat/>
    <w:uiPriority w:val="99"/>
    <w:pPr>
      <w:snapToGrid w:val="0"/>
      <w:spacing w:line="440" w:lineRule="exact"/>
    </w:pPr>
    <w:rPr>
      <w:rFonts w:ascii="Times New Roman" w:eastAsia="Times New Roman"/>
      <w:sz w:val="20"/>
    </w:rPr>
  </w:style>
  <w:style w:type="paragraph" w:styleId="4">
    <w:name w:val="Body Text First Indent"/>
    <w:basedOn w:val="3"/>
    <w:next w:val="5"/>
    <w:qFormat/>
    <w:uiPriority w:val="99"/>
    <w:pPr>
      <w:tabs>
        <w:tab w:val="left" w:pos="780"/>
      </w:tabs>
      <w:spacing w:after="120"/>
      <w:ind w:firstLine="420" w:firstLineChars="100"/>
    </w:pPr>
  </w:style>
  <w:style w:type="paragraph" w:customStyle="1" w:styleId="5">
    <w:name w:val="段落正文"/>
    <w:basedOn w:val="1"/>
    <w:autoRedefine/>
    <w:qFormat/>
    <w:uiPriority w:val="0"/>
    <w:pPr>
      <w:spacing w:beforeLines="50" w:line="360" w:lineRule="auto"/>
    </w:pPr>
    <w:rPr>
      <w:spacing w:val="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 Text1"/>
    <w:basedOn w:val="1"/>
    <w:qFormat/>
    <w:uiPriority w:val="0"/>
    <w:pPr>
      <w:adjustRightInd w:val="0"/>
      <w:jc w:val="left"/>
      <w:textAlignment w:val="baseline"/>
    </w:pPr>
    <w:rPr>
      <w:rFonts w:hAnsi="Courier New" w:cs="宋体"/>
      <w:szCs w:val="24"/>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character" w:customStyle="1" w:styleId="13">
    <w:name w:val="font91"/>
    <w:basedOn w:val="10"/>
    <w:qFormat/>
    <w:uiPriority w:val="0"/>
    <w:rPr>
      <w:rFonts w:ascii="仿宋" w:hAnsi="仿宋" w:eastAsia="仿宋" w:cs="仿宋"/>
      <w:color w:val="000000"/>
      <w:sz w:val="24"/>
      <w:szCs w:val="24"/>
      <w:u w:val="none"/>
    </w:rPr>
  </w:style>
  <w:style w:type="character" w:customStyle="1" w:styleId="14">
    <w:name w:val="font31"/>
    <w:basedOn w:val="10"/>
    <w:qFormat/>
    <w:uiPriority w:val="0"/>
    <w:rPr>
      <w:rFonts w:hint="eastAsia" w:ascii="仿宋" w:hAnsi="仿宋" w:eastAsia="仿宋" w:cs="仿宋"/>
      <w:color w:val="000000"/>
      <w:sz w:val="24"/>
      <w:szCs w:val="24"/>
      <w:u w:val="none"/>
    </w:rPr>
  </w:style>
  <w:style w:type="character" w:customStyle="1" w:styleId="15">
    <w:name w:val="font61"/>
    <w:basedOn w:val="10"/>
    <w:qFormat/>
    <w:uiPriority w:val="0"/>
    <w:rPr>
      <w:rFonts w:hint="default" w:ascii="方正仿宋_GB18030" w:hAnsi="方正仿宋_GB18030" w:eastAsia="方正仿宋_GB18030" w:cs="方正仿宋_GB18030"/>
      <w:color w:val="000000"/>
      <w:sz w:val="22"/>
      <w:szCs w:val="22"/>
      <w:u w:val="none"/>
    </w:rPr>
  </w:style>
  <w:style w:type="character" w:customStyle="1" w:styleId="16">
    <w:name w:val="font12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2431</Words>
  <Characters>2523</Characters>
  <Lines>0</Lines>
  <Paragraphs>0</Paragraphs>
  <TotalTime>0</TotalTime>
  <ScaleCrop>false</ScaleCrop>
  <LinksUpToDate>false</LinksUpToDate>
  <CharactersWithSpaces>2532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2025-01-17T08:24:00Z</dcterms:created>
  <dc:creator>LC</dc:creator>
  <cp:lastModifiedBy>郑yueJun</cp:lastModifiedBy>
  <dcterms:modified xsi:type="dcterms:W3CDTF">2025-06-26T09:16:53Z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79B19EACAEE44F20B0AB10EF91FA42E4_13</vt:lpwstr>
  </property>
  <property fmtid="{D5CDD505-2E9C-101B-9397-08002B2CF9AE}" pid="4" name="KSOTemplateDocerSaveRecord">
    <vt:lpwstr>eyJoZGlkIjoiY2Q0ZjM1NTBkYzgwMDdjZDM4ZWQ1OGQyODU4YTVmNzAiLCJ1c2VySWQiOiI3MDA5OTI2NTMifQ==</vt:lpwstr>
  </property>
</Properties>
</file>