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ABE9B">
      <w:pPr>
        <w:pStyle w:val="11"/>
        <w:jc w:val="center"/>
        <w:outlineLvl w:val="0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bookmarkStart w:id="0" w:name="_Toc393"/>
      <w:bookmarkStart w:id="1" w:name="_Toc994"/>
      <w:bookmarkStart w:id="2" w:name="_Toc17849"/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第三章 技术、服务及其他要求</w:t>
      </w:r>
      <w:bookmarkEnd w:id="0"/>
      <w:bookmarkEnd w:id="1"/>
      <w:bookmarkEnd w:id="2"/>
    </w:p>
    <w:p w14:paraId="6A8D1BE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2" w:firstLineChars="200"/>
        <w:jc w:val="left"/>
        <w:outlineLvl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一、项目概况</w:t>
      </w:r>
    </w:p>
    <w:p w14:paraId="2D0CC24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jc w:val="left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根据内江市卫生健康委员会《关于委托市第一人民医院采购卒中、胸痛科普宣传服务的函》要求，为持续提高老百姓对卒中和胸痛的识别意识，将进行卒中和胸痛科普楼宇视频宣传服务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。</w:t>
      </w:r>
    </w:p>
    <w:p w14:paraId="71667A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服务内容</w:t>
      </w:r>
    </w:p>
    <w:p w14:paraId="7CEB1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（一）在全市小区（包含资中县、威远县）电梯视频上播出（点位不少于700个，尽可能分布在全市各个小区），时长6个月，胸痛、卒中宣传视频（各30秒）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tbl>
      <w:tblPr>
        <w:tblStyle w:val="8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1717"/>
        <w:gridCol w:w="1311"/>
        <w:gridCol w:w="984"/>
        <w:gridCol w:w="1594"/>
        <w:gridCol w:w="1554"/>
      </w:tblGrid>
      <w:tr w14:paraId="480A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验收区域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E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7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小区数（个）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点位数（个）</w:t>
            </w:r>
          </w:p>
        </w:tc>
      </w:tr>
      <w:tr w14:paraId="2136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内江市第一人民医院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市中区+经开区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8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23.64%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5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2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 </w:t>
            </w:r>
          </w:p>
        </w:tc>
      </w:tr>
      <w:tr w14:paraId="79CA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内江市第二人民医院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东兴区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A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36.36%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 </w:t>
            </w:r>
          </w:p>
        </w:tc>
      </w:tr>
      <w:tr w14:paraId="724B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内江市东兴区人民医院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10.91%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 w14:paraId="2789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资中县人民医院+资中县中医医院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资中县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F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18.18%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E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 </w:t>
            </w:r>
          </w:p>
        </w:tc>
      </w:tr>
      <w:tr w14:paraId="0E05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威远县人民医院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威远县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10.91%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 w14:paraId="7FAC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1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6E3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left="720" w:hanging="72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备注：1.小区数和点位数为最低数量要求，供应商响应的数量不能低于此数量。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2.因隆昌市没有楼宇视频预算，故未在隆昌市开展卒中、胸痛楼宇视频宣传。</w:t>
            </w:r>
          </w:p>
        </w:tc>
      </w:tr>
    </w:tbl>
    <w:p w14:paraId="2D722F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注：提供视频播放小区及点位数量。</w:t>
      </w:r>
    </w:p>
    <w:p w14:paraId="0EAF9FA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（二）视频播放需声音清楚，画面清晰。</w:t>
      </w:r>
    </w:p>
    <w:p w14:paraId="5D3CEAFE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2" w:firstLineChars="200"/>
        <w:jc w:val="left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三、商务要求</w:t>
      </w:r>
    </w:p>
    <w:p w14:paraId="314D025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  <w:t>项目实施地点：供应商响应的视频播放小区。</w:t>
      </w:r>
    </w:p>
    <w:p w14:paraId="616BB4F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  <w:t>服务期限：签订合同之日起一年。</w:t>
      </w:r>
    </w:p>
    <w:p w14:paraId="001B372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  <w:t>视频播放时间要求：2025年8月、2025年11月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  <w:t>2026年2月、2026年4月。</w:t>
      </w:r>
    </w:p>
    <w:p w14:paraId="4CFBC7C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  <w:t>视频播放频率要求：每日早上8点-晚上10点，各视频播放次数不少于210次。</w:t>
      </w:r>
    </w:p>
    <w:p w14:paraId="44767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（五）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  <w:t>合同签订：各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  <w:t>与成交供应商分别签订合同，合同金额=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各医院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Hans"/>
        </w:rPr>
        <w:t>预算金额/预算合计金额*成交金额</w:t>
      </w:r>
    </w:p>
    <w:p w14:paraId="58AB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（六）支付约定：</w:t>
      </w:r>
    </w:p>
    <w:p w14:paraId="51513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shd w:val="clear" w:color="auto" w:fill="auto"/>
          <w:lang w:val="en-US" w:eastAsia="zh-CN"/>
        </w:rPr>
        <w:t>合同签订之日起30日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  <w:lang w:val="en-US" w:eastAsia="zh-CN"/>
        </w:rPr>
        <w:t>各医院向供应商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shd w:val="clear" w:color="auto" w:fill="auto"/>
          <w:lang w:val="en-US" w:eastAsia="zh-CN"/>
        </w:rPr>
        <w:t>支付合同金额的50%，最终验收合格后支付合同金额的50%。</w:t>
      </w:r>
    </w:p>
    <w:p w14:paraId="4276BDB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shd w:val="clear" w:color="auto" w:fill="auto"/>
          <w:lang w:val="en-US" w:eastAsia="zh-CN"/>
        </w:rPr>
        <w:t>注：1.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成交供应商申请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付款前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须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向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各医院分别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出具合法有效完整的完税发票及凭证资料进行支付结算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。</w:t>
      </w:r>
    </w:p>
    <w:p w14:paraId="2B11DE2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各医院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按该单位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预算金额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占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预算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合计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金额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的比例计算向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支付服务费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。（即：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各医院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预算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金额/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预算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合计金额*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成交金额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*进度付款比例）</w:t>
      </w:r>
    </w:p>
    <w:p w14:paraId="55A6434A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eastAsia="zh-CN"/>
        </w:rPr>
        <w:t>（七）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eastAsia="zh-Hans"/>
        </w:rPr>
        <w:t>验收</w:t>
      </w:r>
    </w:p>
    <w:p w14:paraId="2F362F15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left="0" w:leftChars="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  <w:t>（1）内江市第一人民医院将按照相关法律法规和本项目采购文件的技术、服务要求以及供应商响应文件、承诺及合同约定标准对内江市市中区、经开区投放的楼宇视频进行抽查验收，验收时供应商需提供所有点位宣传图片，图片上面需显示地点、时间水印等信息。</w:t>
      </w:r>
    </w:p>
    <w:p w14:paraId="1C5579A4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left="0" w:leftChars="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  <w:t>（2）内江市第二人民医院将按照相关法律法规和本项目采购文件的技术、服务要求以及供应商响应文件、承诺及合同约定标准对内江市东兴区投放的楼宇视频进行抽查验收，验收时供应商需提供所有点位宣传图片，图片上面需显示地点、时间水印等信息。</w:t>
      </w:r>
    </w:p>
    <w:p w14:paraId="7589755C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left="0" w:leftChars="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  <w:t>（3）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  <w:lang w:eastAsia="zh-CN"/>
        </w:rPr>
        <w:t>内江市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  <w:t>东兴区人民医院将按照相关法律法规和本项目采购文件的技术、服务要求以及供应商响应文件、承诺及合同约定标准对内江市高新区投放的楼宇视频进行抽查验收，验收时供应商需提供所有点位宣传图片，图片上面需显示地点、时间水印等信息。</w:t>
      </w:r>
    </w:p>
    <w:p w14:paraId="69F1309D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left="0" w:leftChars="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  <w:t>（4）资中县人民医院、资中县中医医院将按照相关法律法规和本项目采购文件的技术、服务要求以及供应商响应文件、承诺及合同约定标准对内江市资中县投放的楼宇视频进行抽查验收（验收数量各一半），验收时供应商需提供所有点位宣传图片，图片上面需显示地点、时间水印等信息。</w:t>
      </w:r>
    </w:p>
    <w:p w14:paraId="03BAF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u w:val="none"/>
          <w:shd w:val="clear" w:color="auto" w:fill="auto"/>
        </w:rPr>
        <w:t>（5）威远县人民医院将按照相关法律法规和本项目采购文件的技术、服务要求以及供应商响应文件、承诺及合同约定标准对内江市威远县投放的楼宇视频进行抽查验收，验收时供应商需提供所有点位宣传图片，图片上面需显示地点、时间水印等信息。</w:t>
      </w:r>
    </w:p>
    <w:p w14:paraId="20A55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（八）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违约责任与解决争议的方法：</w:t>
      </w:r>
    </w:p>
    <w:p w14:paraId="3FA93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1.违约责任：</w:t>
      </w:r>
    </w:p>
    <w:p w14:paraId="3C86F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双方必须遵守本合同并执行合同中的各项规定，保证本合同的正常履行。</w:t>
      </w:r>
    </w:p>
    <w:p w14:paraId="1F5CB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如因成交供应商在履行职务过程中的疏忽、失职、过错等故意或者过失原因给医院造成损失或侵害，包括但不限于医院本身的财产损失、由此而导致的医院对任何第三方的法律责任等，成交供应商对此均应承担全部的赔偿责任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 xml:space="preserve">。 </w:t>
      </w:r>
    </w:p>
    <w:p w14:paraId="165B2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若因医院原因造成合同变更、中止、终止或解除采购合同的，医院应按照合同约定对成交供应商受到的损失给予补偿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 xml:space="preserve">。 </w:t>
      </w:r>
    </w:p>
    <w:p w14:paraId="34D7F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解决合同纠纷的方式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合同履行期间，若双方发生争议，可协商或由有关部门调解解决，协商或调解不成的，可向医院所在地人民法院依法提起诉讼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。</w:t>
      </w:r>
    </w:p>
    <w:p w14:paraId="70904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atLeast"/>
        <w:ind w:firstLine="482" w:firstLineChars="200"/>
        <w:rPr>
          <w:color w:val="auto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四、定价方式：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固定总价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。</w:t>
      </w:r>
    </w:p>
    <w:sectPr>
      <w:footerReference r:id="rId3" w:type="default"/>
      <w:pgSz w:w="11906" w:h="16838"/>
      <w:pgMar w:top="1134" w:right="1134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87C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DBBEF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9DBBEF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58FB8"/>
    <w:multiLevelType w:val="singleLevel"/>
    <w:tmpl w:val="E1058FB8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sz w:val="24"/>
        <w:szCs w:val="24"/>
      </w:rPr>
    </w:lvl>
  </w:abstractNum>
  <w:abstractNum w:abstractNumId="1">
    <w:nsid w:val="70466CAE"/>
    <w:multiLevelType w:val="singleLevel"/>
    <w:tmpl w:val="70466C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28D5"/>
    <w:rsid w:val="06C23411"/>
    <w:rsid w:val="07E8502A"/>
    <w:rsid w:val="0A766B83"/>
    <w:rsid w:val="0B3D3F64"/>
    <w:rsid w:val="0F052A35"/>
    <w:rsid w:val="10F5107D"/>
    <w:rsid w:val="113A4C18"/>
    <w:rsid w:val="15EB593E"/>
    <w:rsid w:val="1AFA282C"/>
    <w:rsid w:val="25CA383D"/>
    <w:rsid w:val="36E10B0E"/>
    <w:rsid w:val="3B7E28D5"/>
    <w:rsid w:val="3F79605C"/>
    <w:rsid w:val="45274DC0"/>
    <w:rsid w:val="4AC565F9"/>
    <w:rsid w:val="4BCA386C"/>
    <w:rsid w:val="4ECC264C"/>
    <w:rsid w:val="50245B70"/>
    <w:rsid w:val="543C5B7E"/>
    <w:rsid w:val="58E80082"/>
    <w:rsid w:val="5B340A1B"/>
    <w:rsid w:val="5C1B076F"/>
    <w:rsid w:val="6340696D"/>
    <w:rsid w:val="68EE7AC4"/>
    <w:rsid w:val="69B14171"/>
    <w:rsid w:val="6E2C2368"/>
    <w:rsid w:val="7412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3">
    <w:name w:val="Body Text"/>
    <w:basedOn w:val="1"/>
    <w:next w:val="4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4">
    <w:name w:val="Body Text First Indent"/>
    <w:basedOn w:val="3"/>
    <w:next w:val="5"/>
    <w:qFormat/>
    <w:uiPriority w:val="99"/>
    <w:pPr>
      <w:tabs>
        <w:tab w:val="left" w:pos="780"/>
      </w:tabs>
      <w:spacing w:after="120"/>
      <w:ind w:firstLine="420" w:firstLineChars="100"/>
    </w:pPr>
  </w:style>
  <w:style w:type="paragraph" w:customStyle="1" w:styleId="5">
    <w:name w:val="段落正文"/>
    <w:basedOn w:val="1"/>
    <w:autoRedefine/>
    <w:qFormat/>
    <w:uiPriority w:val="0"/>
    <w:pPr>
      <w:spacing w:beforeLines="50" w:line="360" w:lineRule="auto"/>
    </w:pPr>
    <w:rPr>
      <w:spacing w:val="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2">
    <w:name w:val="font9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61"/>
    <w:basedOn w:val="10"/>
    <w:qFormat/>
    <w:uiPriority w:val="0"/>
    <w:rPr>
      <w:rFonts w:hint="default" w:ascii="方正仿宋_GB18030" w:hAnsi="方正仿宋_GB18030" w:eastAsia="方正仿宋_GB18030" w:cs="方正仿宋_GB18030"/>
      <w:color w:val="000000"/>
      <w:sz w:val="22"/>
      <w:szCs w:val="22"/>
      <w:u w:val="none"/>
    </w:rPr>
  </w:style>
  <w:style w:type="character" w:customStyle="1" w:styleId="15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1523</Words>
  <Characters>1599</Characters>
  <Lines>0</Lines>
  <Paragraphs>0</Paragraphs>
  <TotalTime>0</TotalTime>
  <ScaleCrop>false</ScaleCrop>
  <LinksUpToDate>false</LinksUpToDate>
  <CharactersWithSpaces>1606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2025-01-17T08:24:00Z</dcterms:created>
  <dc:creator>LC</dc:creator>
  <cp:lastModifiedBy>a</cp:lastModifiedBy>
  <dcterms:modified xsi:type="dcterms:W3CDTF">2025-06-10T03:52:17Z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671BAA918CFB4404BC13316451B10404_11</vt:lpwstr>
  </property>
  <property fmtid="{D5CDD505-2E9C-101B-9397-08002B2CF9AE}" pid="4" name="KSOTemplateDocerSaveRecord">
    <vt:lpwstr>eyJoZGlkIjoiNzc3YzBmYjZkM2Y1NTZhMDcyNzY0MzY2N2Q5M2M4OTEiLCJ1c2VySWQiOiIyNTk3MzYwMTgifQ==</vt:lpwstr>
  </property>
</Properties>
</file>