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6"/>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64729489">
      <w:pPr>
        <w:pStyle w:val="6"/>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64972396">
      <w:pPr>
        <w:pStyle w:val="6"/>
        <w:jc w:val="left"/>
        <w:outlineLvl w:val="1"/>
        <w:rPr>
          <w:rFonts w:hint="eastAsia" w:ascii="仿宋" w:hAnsi="仿宋" w:eastAsia="仿宋" w:cs="仿宋"/>
          <w:highlight w:val="none"/>
          <w:lang w:eastAsia="zh-CN"/>
        </w:rPr>
      </w:pPr>
      <w:r>
        <w:rPr>
          <w:rFonts w:hint="eastAsia" w:ascii="仿宋" w:hAnsi="仿宋" w:eastAsia="仿宋" w:cs="仿宋"/>
          <w:b/>
          <w:sz w:val="28"/>
          <w:highlight w:val="none"/>
          <w:lang w:val="en-US" w:eastAsia="zh-CN"/>
        </w:rPr>
        <w:t>★</w:t>
      </w: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289BD037">
      <w:pPr>
        <w:pStyle w:val="6"/>
        <w:jc w:val="left"/>
        <w:outlineLvl w:val="2"/>
        <w:rPr>
          <w:rFonts w:hint="eastAsia" w:ascii="仿宋" w:hAnsi="仿宋" w:eastAsia="仿宋" w:cs="仿宋"/>
          <w:b/>
          <w:bCs/>
          <w:i w:val="0"/>
          <w:iCs w:val="0"/>
          <w:highlight w:val="none"/>
        </w:rPr>
      </w:pPr>
      <w:r>
        <w:rPr>
          <w:rFonts w:hint="eastAsia" w:ascii="仿宋" w:hAnsi="仿宋" w:eastAsia="仿宋" w:cs="仿宋"/>
          <w:b/>
          <w:bCs/>
          <w:i w:val="0"/>
          <w:iCs w:val="0"/>
          <w:sz w:val="24"/>
          <w:szCs w:val="24"/>
          <w:highlight w:val="none"/>
        </w:rPr>
        <w:t>采购包1：</w:t>
      </w:r>
    </w:p>
    <w:tbl>
      <w:tblPr>
        <w:tblStyle w:val="3"/>
        <w:tblW w:w="507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9"/>
        <w:gridCol w:w="684"/>
        <w:gridCol w:w="1776"/>
        <w:gridCol w:w="1968"/>
        <w:gridCol w:w="768"/>
        <w:gridCol w:w="1092"/>
        <w:gridCol w:w="1728"/>
      </w:tblGrid>
      <w:tr w14:paraId="2A7A6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jc w:val="center"/>
        </w:trPr>
        <w:tc>
          <w:tcPr>
            <w:tcW w:w="363" w:type="pct"/>
            <w:vAlign w:val="center"/>
          </w:tcPr>
          <w:p w14:paraId="29F17BF4">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包号</w:t>
            </w:r>
          </w:p>
        </w:tc>
        <w:tc>
          <w:tcPr>
            <w:tcW w:w="395" w:type="pct"/>
            <w:vAlign w:val="center"/>
          </w:tcPr>
          <w:p w14:paraId="76618079">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编号</w:t>
            </w:r>
          </w:p>
        </w:tc>
        <w:tc>
          <w:tcPr>
            <w:tcW w:w="1027" w:type="pct"/>
            <w:vAlign w:val="center"/>
          </w:tcPr>
          <w:p w14:paraId="729D993E">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标的名称</w:t>
            </w:r>
          </w:p>
        </w:tc>
        <w:tc>
          <w:tcPr>
            <w:tcW w:w="1138" w:type="pct"/>
            <w:vAlign w:val="center"/>
          </w:tcPr>
          <w:p w14:paraId="2E06A7E8">
            <w:pPr>
              <w:spacing w:line="400" w:lineRule="exact"/>
              <w:jc w:val="center"/>
              <w:rPr>
                <w:rFonts w:hint="default" w:ascii="Times New Roman" w:hAnsi="Times New Roman" w:eastAsia="仿宋" w:cs="Times New Roman"/>
                <w:b/>
                <w:bCs/>
                <w:color w:val="auto"/>
                <w:sz w:val="20"/>
                <w:szCs w:val="20"/>
                <w:highlight w:val="none"/>
                <w:shd w:val="clear" w:color="auto" w:fill="auto"/>
                <w:lang w:val="en-US" w:eastAsia="zh-CN"/>
              </w:rPr>
            </w:pPr>
            <w:r>
              <w:rPr>
                <w:rFonts w:hint="eastAsia" w:eastAsia="仿宋" w:cs="Times New Roman"/>
                <w:b/>
                <w:bCs/>
                <w:color w:val="auto"/>
                <w:sz w:val="20"/>
                <w:szCs w:val="20"/>
                <w:highlight w:val="none"/>
                <w:shd w:val="clear" w:color="auto" w:fill="auto"/>
                <w:lang w:val="en-US" w:eastAsia="zh-CN"/>
              </w:rPr>
              <w:t>采购预算金额（元）</w:t>
            </w:r>
          </w:p>
        </w:tc>
        <w:tc>
          <w:tcPr>
            <w:tcW w:w="444" w:type="pct"/>
            <w:vAlign w:val="center"/>
          </w:tcPr>
          <w:p w14:paraId="621BEF3C">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default" w:ascii="Times New Roman" w:hAnsi="Times New Roman" w:eastAsia="仿宋" w:cs="Times New Roman"/>
                <w:b/>
                <w:bCs/>
                <w:color w:val="auto"/>
                <w:sz w:val="20"/>
                <w:szCs w:val="20"/>
                <w:highlight w:val="none"/>
                <w:shd w:val="clear" w:color="auto" w:fill="auto"/>
                <w:lang w:val="en-US" w:eastAsia="zh-CN"/>
              </w:rPr>
              <w:t>数量</w:t>
            </w:r>
          </w:p>
        </w:tc>
        <w:tc>
          <w:tcPr>
            <w:tcW w:w="631" w:type="pct"/>
            <w:vAlign w:val="center"/>
          </w:tcPr>
          <w:p w14:paraId="61028BE2">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计量单位</w:t>
            </w:r>
          </w:p>
        </w:tc>
        <w:tc>
          <w:tcPr>
            <w:tcW w:w="999" w:type="pct"/>
            <w:vAlign w:val="center"/>
          </w:tcPr>
          <w:p w14:paraId="3DEBE4FE">
            <w:pPr>
              <w:spacing w:line="400" w:lineRule="exact"/>
              <w:jc w:val="center"/>
              <w:rPr>
                <w:rFonts w:hint="default"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最高限价（</w:t>
            </w:r>
            <w:r>
              <w:rPr>
                <w:rFonts w:hint="default" w:ascii="Times New Roman" w:hAnsi="Times New Roman" w:eastAsia="仿宋" w:cs="Times New Roman"/>
                <w:b/>
                <w:bCs/>
                <w:color w:val="auto"/>
                <w:sz w:val="20"/>
                <w:szCs w:val="20"/>
                <w:highlight w:val="none"/>
                <w:shd w:val="clear" w:color="auto" w:fill="auto"/>
                <w:lang w:val="en-US" w:eastAsia="zh-CN"/>
              </w:rPr>
              <w:t>元</w:t>
            </w:r>
            <w:r>
              <w:rPr>
                <w:rFonts w:hint="eastAsia" w:ascii="Times New Roman" w:hAnsi="Times New Roman" w:eastAsia="仿宋" w:cs="Times New Roman"/>
                <w:b/>
                <w:bCs/>
                <w:color w:val="auto"/>
                <w:sz w:val="20"/>
                <w:szCs w:val="20"/>
                <w:highlight w:val="none"/>
                <w:shd w:val="clear" w:color="auto" w:fill="auto"/>
                <w:lang w:val="en-US" w:eastAsia="zh-CN"/>
              </w:rPr>
              <w:t>）</w:t>
            </w:r>
          </w:p>
        </w:tc>
      </w:tr>
      <w:tr w14:paraId="46BD3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3" w:hRule="atLeast"/>
          <w:jc w:val="center"/>
        </w:trPr>
        <w:tc>
          <w:tcPr>
            <w:tcW w:w="363" w:type="pct"/>
            <w:vAlign w:val="center"/>
          </w:tcPr>
          <w:p w14:paraId="55613DCB">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395" w:type="pct"/>
            <w:vAlign w:val="center"/>
          </w:tcPr>
          <w:p w14:paraId="49AC13C9">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1027" w:type="pct"/>
            <w:shd w:val="clear" w:color="auto" w:fill="auto"/>
            <w:vAlign w:val="center"/>
          </w:tcPr>
          <w:p w14:paraId="1571D0C2">
            <w:pPr>
              <w:spacing w:line="400" w:lineRule="exact"/>
              <w:jc w:val="cente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pPr>
            <w: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t>内江市第一人民医院人才猎头服务</w:t>
            </w:r>
          </w:p>
        </w:tc>
        <w:tc>
          <w:tcPr>
            <w:tcW w:w="1138" w:type="pct"/>
            <w:vAlign w:val="center"/>
          </w:tcPr>
          <w:p w14:paraId="1B72718D">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200000.00</w:t>
            </w:r>
          </w:p>
        </w:tc>
        <w:tc>
          <w:tcPr>
            <w:tcW w:w="444" w:type="pct"/>
            <w:vAlign w:val="center"/>
          </w:tcPr>
          <w:p w14:paraId="15402315">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631" w:type="pct"/>
            <w:vAlign w:val="center"/>
          </w:tcPr>
          <w:p w14:paraId="42012B54">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项</w:t>
            </w:r>
          </w:p>
        </w:tc>
        <w:tc>
          <w:tcPr>
            <w:tcW w:w="999" w:type="pct"/>
            <w:vAlign w:val="center"/>
          </w:tcPr>
          <w:p w14:paraId="69BF4851">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200000.00</w:t>
            </w:r>
          </w:p>
        </w:tc>
      </w:tr>
    </w:tbl>
    <w:p w14:paraId="4B771F09">
      <w:pPr>
        <w:pStyle w:val="6"/>
        <w:ind w:firstLine="480"/>
        <w:jc w:val="left"/>
        <w:rPr>
          <w:rFonts w:hint="eastAsia" w:ascii="仿宋" w:hAnsi="仿宋" w:eastAsia="仿宋" w:cs="仿宋"/>
          <w:highlight w:val="none"/>
        </w:rPr>
      </w:pPr>
    </w:p>
    <w:p w14:paraId="39D0018F">
      <w:pPr>
        <w:pStyle w:val="6"/>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3.2.技术要求</w:t>
      </w:r>
    </w:p>
    <w:p w14:paraId="01F5AD52">
      <w:pPr>
        <w:spacing w:line="400" w:lineRule="exact"/>
        <w:jc w:val="left"/>
        <w:rPr>
          <w:rFonts w:hint="eastAsia" w:ascii="Times New Roman" w:hAnsi="Times New Roman" w:eastAsia="仿宋" w:cs="Times New Roman"/>
          <w:b/>
          <w:bCs/>
          <w:color w:val="auto"/>
          <w:sz w:val="24"/>
          <w:highlight w:val="none"/>
          <w:shd w:val="clear" w:color="auto" w:fill="auto"/>
          <w:lang w:val="en-US" w:eastAsia="zh-CN"/>
        </w:rPr>
      </w:pPr>
      <w:r>
        <w:rPr>
          <w:rFonts w:hint="eastAsia" w:ascii="Times New Roman" w:hAnsi="Times New Roman" w:eastAsia="仿宋" w:cs="Times New Roman"/>
          <w:b/>
          <w:bCs/>
          <w:color w:val="auto"/>
          <w:sz w:val="24"/>
          <w:highlight w:val="none"/>
          <w:shd w:val="clear" w:color="auto" w:fill="auto"/>
          <w:lang w:val="en-US" w:eastAsia="zh-CN"/>
        </w:rPr>
        <w:t>★一、服务要求</w:t>
      </w:r>
    </w:p>
    <w:p w14:paraId="083AFBA3">
      <w:pPr>
        <w:pStyle w:val="2"/>
        <w:ind w:firstLine="480" w:firstLineChars="200"/>
        <w:rPr>
          <w:rFonts w:hint="eastAsia" w:ascii="Times New Roman" w:hAnsi="Times New Roman" w:eastAsia="仿宋" w:cs="Times New Roman"/>
          <w:color w:val="auto"/>
          <w:sz w:val="24"/>
          <w:highlight w:val="none"/>
          <w:shd w:val="clear" w:color="auto" w:fill="auto"/>
          <w:lang w:val="en-US" w:eastAsia="zh-CN"/>
        </w:rPr>
      </w:pPr>
      <w:r>
        <w:rPr>
          <w:rFonts w:hint="default" w:ascii="Times New Roman" w:hAnsi="Times New Roman" w:eastAsia="仿宋" w:cs="Times New Roman"/>
          <w:color w:val="auto"/>
          <w:kern w:val="2"/>
          <w:sz w:val="24"/>
          <w:szCs w:val="24"/>
          <w:highlight w:val="none"/>
          <w:shd w:val="clear" w:color="auto" w:fill="auto"/>
          <w:lang w:val="en-US" w:eastAsia="zh-CN" w:bidi="ar-SA"/>
        </w:rPr>
        <w:t>（1）</w:t>
      </w:r>
      <w:r>
        <w:rPr>
          <w:rFonts w:hint="eastAsia" w:ascii="Times New Roman" w:hAnsi="Times New Roman" w:eastAsia="仿宋" w:cs="Times New Roman"/>
          <w:color w:val="auto"/>
          <w:sz w:val="24"/>
          <w:highlight w:val="none"/>
          <w:shd w:val="clear" w:color="auto" w:fill="auto"/>
          <w:lang w:val="en-US" w:eastAsia="zh-CN"/>
        </w:rPr>
        <w:t>供应商根据采购人的招聘要求（包括但不限于：岗位、招聘人数、所在部门、学历要求、工作经验、技能等要求），利用自身资源和渠道，广泛搜索符合资质的人才。</w:t>
      </w:r>
    </w:p>
    <w:p w14:paraId="0CCDD4B6">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highlight w:val="none"/>
          <w:shd w:val="clear" w:color="auto" w:fill="auto"/>
          <w:lang w:val="en-US" w:eastAsia="zh-CN"/>
        </w:rPr>
        <w:t>（2）供应商需</w:t>
      </w:r>
      <w:r>
        <w:rPr>
          <w:rFonts w:hint="default" w:ascii="Times New Roman" w:hAnsi="Times New Roman" w:eastAsia="仿宋" w:cs="Times New Roman"/>
          <w:color w:val="auto"/>
          <w:sz w:val="24"/>
          <w:highlight w:val="none"/>
          <w:shd w:val="clear" w:color="auto" w:fill="auto"/>
          <w:lang w:val="en-US" w:eastAsia="zh-CN"/>
        </w:rPr>
        <w:t>积极主动地与采购人沟通候选人招募动态及市场信息，并按照采购人的职位要求推荐合适的人选，在候选人报告中应力求客观、全面地向采购人介绍候选人的情况。</w:t>
      </w:r>
      <w:r>
        <w:rPr>
          <w:rFonts w:hint="default" w:ascii="Times New Roman" w:hAnsi="Times New Roman" w:eastAsia="仿宋" w:cs="Times New Roman"/>
          <w:color w:val="auto"/>
          <w:kern w:val="2"/>
          <w:sz w:val="24"/>
          <w:szCs w:val="24"/>
          <w:highlight w:val="none"/>
          <w:shd w:val="clear" w:color="auto" w:fill="auto"/>
          <w:lang w:val="en-US" w:eastAsia="zh-CN" w:bidi="ar-SA"/>
        </w:rPr>
        <w:t>同时应客观、全面的向候选人传达采购人的招募要求，让候选人全面了解采购人的岗位要求、工作内容及工作环境等信息。</w:t>
      </w:r>
    </w:p>
    <w:p w14:paraId="7D2261F0">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t>3</w:t>
      </w: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sz w:val="24"/>
          <w:highlight w:val="none"/>
          <w:shd w:val="clear" w:color="auto" w:fill="auto"/>
          <w:lang w:val="en-US" w:eastAsia="zh-CN"/>
        </w:rPr>
        <w:t>供应商所</w:t>
      </w:r>
      <w:r>
        <w:rPr>
          <w:rFonts w:hint="default" w:ascii="Times New Roman" w:hAnsi="Times New Roman" w:eastAsia="仿宋" w:cs="Times New Roman"/>
          <w:color w:val="auto"/>
          <w:kern w:val="2"/>
          <w:sz w:val="24"/>
          <w:szCs w:val="24"/>
          <w:highlight w:val="none"/>
          <w:shd w:val="clear" w:color="auto" w:fill="auto"/>
          <w:lang w:val="en-US" w:eastAsia="zh-CN" w:bidi="ar-SA"/>
        </w:rPr>
        <w:t>推荐的候选人应符合职位要求，候选人信息是真实有效的，不得有任何敷衍</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default" w:ascii="Times New Roman" w:hAnsi="Times New Roman" w:eastAsia="仿宋" w:cs="Times New Roman"/>
          <w:color w:val="auto"/>
          <w:kern w:val="2"/>
          <w:sz w:val="24"/>
          <w:szCs w:val="24"/>
          <w:highlight w:val="none"/>
          <w:shd w:val="clear" w:color="auto" w:fill="auto"/>
          <w:lang w:val="en-US" w:eastAsia="zh-CN" w:bidi="ar-SA"/>
        </w:rPr>
        <w:t>欺骗或虚假行为，按要求提供背景调查服务（包括但不限于个人身份信息</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default" w:ascii="Times New Roman" w:hAnsi="Times New Roman" w:eastAsia="仿宋" w:cs="Times New Roman"/>
          <w:color w:val="auto"/>
          <w:kern w:val="2"/>
          <w:sz w:val="24"/>
          <w:szCs w:val="24"/>
          <w:highlight w:val="none"/>
          <w:shd w:val="clear" w:color="auto" w:fill="auto"/>
          <w:lang w:val="en-US" w:eastAsia="zh-CN" w:bidi="ar-SA"/>
        </w:rPr>
        <w:t>教育背景</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sz w:val="24"/>
          <w:highlight w:val="none"/>
          <w:shd w:val="clear" w:color="auto" w:fill="auto"/>
          <w:lang w:val="en-US" w:eastAsia="zh-CN"/>
        </w:rPr>
        <w:t>职业资格证书、</w:t>
      </w:r>
      <w:r>
        <w:rPr>
          <w:rFonts w:hint="default" w:ascii="Times New Roman" w:hAnsi="Times New Roman" w:eastAsia="仿宋" w:cs="Times New Roman"/>
          <w:color w:val="auto"/>
          <w:kern w:val="2"/>
          <w:sz w:val="24"/>
          <w:szCs w:val="24"/>
          <w:highlight w:val="none"/>
          <w:shd w:val="clear" w:color="auto" w:fill="auto"/>
          <w:lang w:val="en-US" w:eastAsia="zh-CN" w:bidi="ar-SA"/>
        </w:rPr>
        <w:t>工作经历、工作表现、以往人际关系</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default" w:ascii="Times New Roman" w:hAnsi="Times New Roman" w:eastAsia="仿宋" w:cs="Times New Roman"/>
          <w:color w:val="auto"/>
          <w:kern w:val="2"/>
          <w:sz w:val="24"/>
          <w:szCs w:val="24"/>
          <w:highlight w:val="none"/>
          <w:shd w:val="clear" w:color="auto" w:fill="auto"/>
          <w:lang w:val="en-US" w:eastAsia="zh-CN" w:bidi="ar-SA"/>
        </w:rPr>
        <w:t>离职原因</w:t>
      </w:r>
      <w:r>
        <w:rPr>
          <w:rFonts w:hint="eastAsia" w:ascii="Times New Roman" w:hAnsi="Times New Roman" w:eastAsia="仿宋" w:cs="Times New Roman"/>
          <w:color w:val="auto"/>
          <w:kern w:val="2"/>
          <w:sz w:val="24"/>
          <w:szCs w:val="24"/>
          <w:highlight w:val="none"/>
          <w:shd w:val="clear" w:color="auto" w:fill="auto"/>
          <w:lang w:val="en-US" w:eastAsia="zh-CN" w:bidi="ar-SA"/>
        </w:rPr>
        <w:t>及信用记录</w:t>
      </w:r>
      <w:r>
        <w:rPr>
          <w:rFonts w:hint="default" w:ascii="Times New Roman" w:hAnsi="Times New Roman" w:eastAsia="仿宋" w:cs="Times New Roman"/>
          <w:color w:val="auto"/>
          <w:kern w:val="2"/>
          <w:sz w:val="24"/>
          <w:szCs w:val="24"/>
          <w:highlight w:val="none"/>
          <w:shd w:val="clear" w:color="auto" w:fill="auto"/>
          <w:lang w:val="en-US" w:eastAsia="zh-CN" w:bidi="ar-SA"/>
        </w:rPr>
        <w:t>等），以保证每一位候选人资料的真实可靠性。</w:t>
      </w:r>
    </w:p>
    <w:p w14:paraId="431B9376">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t>4</w:t>
      </w: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sz w:val="24"/>
          <w:highlight w:val="none"/>
          <w:shd w:val="clear" w:color="auto" w:fill="auto"/>
          <w:lang w:val="en-US" w:eastAsia="zh-CN"/>
        </w:rPr>
        <w:t>供应商</w:t>
      </w:r>
      <w:r>
        <w:rPr>
          <w:rFonts w:hint="default" w:ascii="Times New Roman" w:hAnsi="Times New Roman" w:eastAsia="仿宋" w:cs="Times New Roman"/>
          <w:color w:val="auto"/>
          <w:kern w:val="2"/>
          <w:sz w:val="24"/>
          <w:szCs w:val="24"/>
          <w:highlight w:val="none"/>
          <w:shd w:val="clear" w:color="auto" w:fill="auto"/>
          <w:lang w:val="en-US" w:eastAsia="zh-CN" w:bidi="ar-SA"/>
        </w:rPr>
        <w:t>向采购人推荐的候选人若在推荐前已被采购人从其他渠道获得，则被视为无效推荐。若该候选人被中标单位推荐时是采购人首次获得该人员信息，则被视为有效候选人。</w:t>
      </w:r>
    </w:p>
    <w:p w14:paraId="70F96C51">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t>5</w:t>
      </w:r>
      <w:r>
        <w:rPr>
          <w:rFonts w:hint="default" w:ascii="Times New Roman" w:hAnsi="Times New Roman" w:eastAsia="仿宋" w:cs="Times New Roman"/>
          <w:color w:val="auto"/>
          <w:kern w:val="2"/>
          <w:sz w:val="24"/>
          <w:szCs w:val="24"/>
          <w:highlight w:val="none"/>
          <w:shd w:val="clear" w:color="auto" w:fill="auto"/>
          <w:lang w:val="en-US" w:eastAsia="zh-CN" w:bidi="ar-SA"/>
        </w:rPr>
        <w:t>）供应商负责与候选人进行深入沟通，了解其职业意向、薪资期望、工作稳定性、离职原因等关键信息，并对候选人的综合素质、专业能力、沟通能力等进行评估，</w:t>
      </w:r>
      <w:r>
        <w:rPr>
          <w:rFonts w:hint="eastAsia" w:ascii="Times New Roman" w:hAnsi="Times New Roman" w:eastAsia="仿宋" w:cs="Times New Roman"/>
          <w:color w:val="auto"/>
          <w:kern w:val="2"/>
          <w:sz w:val="24"/>
          <w:szCs w:val="24"/>
          <w:highlight w:val="none"/>
          <w:shd w:val="clear" w:color="auto" w:fill="auto"/>
          <w:lang w:val="en-US" w:eastAsia="zh-CN" w:bidi="ar-SA"/>
        </w:rPr>
        <w:t>将相关信息提供</w:t>
      </w:r>
      <w:r>
        <w:rPr>
          <w:rFonts w:hint="default" w:ascii="Times New Roman" w:hAnsi="Times New Roman" w:eastAsia="仿宋" w:cs="Times New Roman"/>
          <w:color w:val="auto"/>
          <w:kern w:val="2"/>
          <w:sz w:val="24"/>
          <w:szCs w:val="24"/>
          <w:highlight w:val="none"/>
          <w:shd w:val="clear" w:color="auto" w:fill="auto"/>
          <w:lang w:val="en-US" w:eastAsia="zh-CN" w:bidi="ar-SA"/>
        </w:rPr>
        <w:t>给采购人。</w:t>
      </w:r>
    </w:p>
    <w:p w14:paraId="61F5DD95">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（6）</w:t>
      </w:r>
      <w:r>
        <w:rPr>
          <w:rFonts w:hint="eastAsia" w:ascii="Times New Roman" w:hAnsi="Times New Roman" w:eastAsia="仿宋" w:cs="Times New Roman"/>
          <w:color w:val="auto"/>
          <w:sz w:val="24"/>
          <w:highlight w:val="none"/>
          <w:shd w:val="clear" w:color="auto" w:fill="auto"/>
          <w:lang w:val="en-US" w:eastAsia="zh-CN"/>
        </w:rPr>
        <w:t>供应商须在采购人提供需求岗位后1个月内推荐候选人简历。</w:t>
      </w:r>
    </w:p>
    <w:p w14:paraId="59603F2B">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（7）</w:t>
      </w:r>
      <w:r>
        <w:rPr>
          <w:rFonts w:hint="eastAsia" w:ascii="Times New Roman" w:hAnsi="Times New Roman" w:eastAsia="仿宋" w:cs="Times New Roman"/>
          <w:color w:val="auto"/>
          <w:sz w:val="24"/>
          <w:highlight w:val="none"/>
          <w:shd w:val="clear" w:color="auto" w:fill="auto"/>
          <w:lang w:val="en-US" w:eastAsia="zh-CN"/>
        </w:rPr>
        <w:t>当供应商找到采购人所需的候选人，</w:t>
      </w:r>
      <w:r>
        <w:rPr>
          <w:rFonts w:hint="default" w:ascii="Times New Roman" w:hAnsi="Times New Roman" w:eastAsia="仿宋" w:cs="Times New Roman"/>
          <w:color w:val="auto"/>
          <w:kern w:val="2"/>
          <w:sz w:val="24"/>
          <w:szCs w:val="24"/>
          <w:highlight w:val="none"/>
          <w:shd w:val="clear" w:color="auto" w:fill="auto"/>
          <w:lang w:val="en-US" w:eastAsia="zh-CN" w:bidi="ar-SA"/>
        </w:rPr>
        <w:t>应及时主动地为采购人与候选人协调安排面谈时间和地点，并随时协调采购人与候选人之间的关系，组织双方安排线上/线下面试。</w:t>
      </w:r>
    </w:p>
    <w:p w14:paraId="551CFD01">
      <w:pPr>
        <w:pStyle w:val="2"/>
        <w:ind w:firstLine="480" w:firstLineChars="200"/>
        <w:rPr>
          <w:rFonts w:hint="eastAsia" w:ascii="仿宋_GB2312" w:hAnsi="仿宋_GB2312" w:eastAsia="仿宋_GB2312" w:cs="仿宋_GB2312"/>
          <w:color w:val="000000"/>
          <w:sz w:val="24"/>
          <w:highlight w:val="none"/>
          <w:lang w:val="en-US" w:eastAsia="zh-CN"/>
        </w:rPr>
      </w:pPr>
      <w:r>
        <w:rPr>
          <w:rFonts w:hint="eastAsia" w:ascii="Times New Roman" w:hAnsi="Times New Roman" w:eastAsia="仿宋" w:cs="Times New Roman"/>
          <w:color w:val="auto"/>
          <w:kern w:val="2"/>
          <w:sz w:val="24"/>
          <w:szCs w:val="24"/>
          <w:highlight w:val="none"/>
          <w:shd w:val="clear" w:color="auto" w:fill="auto"/>
          <w:lang w:val="en-US" w:eastAsia="zh-CN" w:bidi="ar-SA"/>
        </w:rPr>
        <w:t>（8）</w:t>
      </w:r>
      <w:r>
        <w:rPr>
          <w:rFonts w:hint="eastAsia" w:ascii="Times New Roman" w:hAnsi="Times New Roman" w:eastAsia="仿宋" w:cs="Times New Roman"/>
          <w:color w:val="auto"/>
          <w:sz w:val="24"/>
          <w:highlight w:val="none"/>
          <w:shd w:val="clear" w:color="auto" w:fill="auto"/>
          <w:lang w:val="en-US" w:eastAsia="zh-CN"/>
        </w:rPr>
        <w:t>协助采购方与候选人进行入职谈判，包括薪资待遇、福利政策、工作条件等，确保双方达成一致意见并签订劳动合同。</w:t>
      </w:r>
    </w:p>
    <w:p w14:paraId="44FC9D83">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kern w:val="2"/>
          <w:sz w:val="24"/>
          <w:szCs w:val="24"/>
          <w:highlight w:val="none"/>
          <w:shd w:val="clear" w:fill="auto"/>
          <w:lang w:val="en-US" w:eastAsia="zh-CN" w:bidi="ar-SA"/>
        </w:rPr>
        <w:t>（9）</w:t>
      </w:r>
      <w:r>
        <w:rPr>
          <w:rFonts w:hint="eastAsia" w:ascii="Times New Roman" w:hAnsi="Times New Roman" w:eastAsia="仿宋" w:cs="Times New Roman"/>
          <w:color w:val="auto"/>
          <w:sz w:val="24"/>
          <w:highlight w:val="none"/>
          <w:shd w:val="clear" w:color="auto" w:fill="auto"/>
          <w:lang w:val="en-US" w:eastAsia="zh-CN"/>
        </w:rPr>
        <w:t>供应商对所推荐并被聘用人员承诺有12个月在职保证期。若在保证期内，因供应商提供的候选人因试用期考核不合格、或自身原因导致离职，如自行提出辞职、隐瞒真实情况、能力不足等原因（除采购人架构调整和裁员外），供应商应在候选人离职之日起3个月内重新提供同职称及以上职称要求的候选人，并负责后续的沟通、评估、背景调查等工作，直至采购人成功录用新的合适人选，该替换职位服务费与前一离职受聘人的已付服务费进行抵扣，若重新推荐候选人职称更高，则在其入职3个月后支付抵扣服务费后的差额；如果未能成功重新推荐候选人入职的，则后续的费用不再支付。</w:t>
      </w:r>
    </w:p>
    <w:p w14:paraId="0D40C3CE">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（10）供应商应对采购人提供的任何商业机密、知识产权、技术资料及员工信息保密。</w:t>
      </w:r>
    </w:p>
    <w:p w14:paraId="7130E7BA">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（11）供应商</w:t>
      </w:r>
      <w:r>
        <w:rPr>
          <w:rFonts w:hint="default" w:ascii="Times New Roman" w:hAnsi="Times New Roman" w:eastAsia="仿宋" w:cs="Times New Roman"/>
          <w:color w:val="auto"/>
          <w:sz w:val="24"/>
          <w:highlight w:val="none"/>
          <w:shd w:val="clear" w:color="auto" w:fill="auto"/>
          <w:lang w:val="en-US" w:eastAsia="zh-CN"/>
        </w:rPr>
        <w:t>及其工作人员应遵循行业职业道德，</w:t>
      </w:r>
      <w:r>
        <w:rPr>
          <w:rFonts w:hint="eastAsia" w:ascii="Times New Roman" w:hAnsi="Times New Roman" w:eastAsia="仿宋" w:cs="Times New Roman"/>
          <w:color w:val="auto"/>
          <w:sz w:val="24"/>
          <w:highlight w:val="none"/>
          <w:shd w:val="clear" w:color="auto" w:fill="auto"/>
          <w:lang w:val="en-US" w:eastAsia="zh-CN"/>
        </w:rPr>
        <w:t>服务过程中，不得主动或被动猎取</w:t>
      </w:r>
      <w:r>
        <w:rPr>
          <w:rFonts w:hint="default" w:ascii="Times New Roman" w:hAnsi="Times New Roman" w:eastAsia="仿宋" w:cs="Times New Roman"/>
          <w:color w:val="auto"/>
          <w:sz w:val="24"/>
          <w:highlight w:val="none"/>
          <w:shd w:val="clear" w:color="auto" w:fill="auto"/>
          <w:lang w:val="en-US" w:eastAsia="zh-CN"/>
        </w:rPr>
        <w:t>采购人员工至其它单位工作</w:t>
      </w:r>
      <w:r>
        <w:rPr>
          <w:rFonts w:hint="eastAsia" w:ascii="Times New Roman" w:hAnsi="Times New Roman" w:eastAsia="仿宋" w:cs="Times New Roman"/>
          <w:color w:val="auto"/>
          <w:sz w:val="24"/>
          <w:highlight w:val="none"/>
          <w:shd w:val="clear" w:color="auto" w:fill="auto"/>
          <w:lang w:val="en-US" w:eastAsia="zh-CN"/>
        </w:rPr>
        <w:t>，若有类似情况发生，采购人有权立即终止本合同，且不再支付本合同剩余需要支付的费用，并保留追偿供应商因此造成的经济损失的权利。</w:t>
      </w:r>
    </w:p>
    <w:p w14:paraId="360FFDF0">
      <w:pPr>
        <w:widowControl/>
        <w:numPr>
          <w:ilvl w:val="0"/>
          <w:numId w:val="0"/>
        </w:numPr>
        <w:spacing w:line="400" w:lineRule="exact"/>
        <w:ind w:firstLine="480" w:firstLineChars="200"/>
        <w:jc w:val="both"/>
        <w:rPr>
          <w:rFonts w:hint="default"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（12）供应商在服务过程中应当完全按照《人力资源市场暂行条例》《中华人民共和国就业促进法》《中华人民共和国劳动法》《中华人民共和国劳动合同法》等相关行业及法律法规执行。</w:t>
      </w:r>
      <w:r>
        <w:rPr>
          <w:rFonts w:hint="eastAsia" w:ascii="Times New Roman" w:hAnsi="Times New Roman" w:eastAsia="仿宋" w:cs="Times New Roman"/>
          <w:b/>
          <w:bCs/>
          <w:color w:val="auto"/>
          <w:sz w:val="24"/>
          <w:highlight w:val="none"/>
          <w:shd w:val="clear" w:color="auto" w:fill="auto"/>
          <w:lang w:val="en-US" w:eastAsia="zh-CN"/>
        </w:rPr>
        <w:t>（本条所要求的法律法规要求，如有废止的，则以现行有效的法规为准；如有更新的，则以更新后最新版本为准。）</w:t>
      </w:r>
    </w:p>
    <w:p w14:paraId="5B22C6E9">
      <w:pPr>
        <w:widowControl/>
        <w:numPr>
          <w:ilvl w:val="0"/>
          <w:numId w:val="0"/>
        </w:numPr>
        <w:spacing w:line="400" w:lineRule="exact"/>
        <w:ind w:firstLine="482" w:firstLineChars="200"/>
        <w:jc w:val="both"/>
        <w:rPr>
          <w:rFonts w:hint="eastAsia" w:ascii="Times New Roman" w:hAnsi="Times New Roman" w:eastAsia="仿宋" w:cs="Times New Roman"/>
          <w:b/>
          <w:bCs/>
          <w:color w:val="auto"/>
          <w:sz w:val="24"/>
          <w:highlight w:val="none"/>
          <w:shd w:val="clear" w:color="auto" w:fill="auto"/>
          <w:lang w:val="en-US" w:eastAsia="zh-CN"/>
        </w:rPr>
      </w:pPr>
      <w:r>
        <w:rPr>
          <w:rFonts w:hint="eastAsia" w:ascii="Times New Roman" w:hAnsi="Times New Roman" w:eastAsia="仿宋" w:cs="Times New Roman"/>
          <w:b/>
          <w:bCs/>
          <w:color w:val="auto"/>
          <w:sz w:val="24"/>
          <w:highlight w:val="none"/>
          <w:shd w:val="clear" w:color="auto" w:fill="auto"/>
          <w:lang w:val="en-US" w:eastAsia="zh-CN"/>
        </w:rPr>
        <w:t>（13）服务人员要求</w:t>
      </w:r>
    </w:p>
    <w:p w14:paraId="3C3A2C8A">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13.1供应商应至少派一名医疗行业猎头经验、熟悉医疗行业中高端人才特点的人员作为采购人专属服务顾问，在服务期间变更人员应取得采购人同意。</w:t>
      </w:r>
    </w:p>
    <w:p w14:paraId="72579CCD">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13.2供应商拟派的项目负责人</w:t>
      </w:r>
      <w:r>
        <w:rPr>
          <w:rFonts w:hint="eastAsia" w:eastAsia="仿宋" w:cs="Times New Roman"/>
          <w:color w:val="auto"/>
          <w:sz w:val="24"/>
          <w:highlight w:val="none"/>
          <w:shd w:val="clear" w:color="auto" w:fill="auto"/>
          <w:lang w:val="en-US" w:eastAsia="zh-CN"/>
        </w:rPr>
        <w:t>一名，</w:t>
      </w:r>
      <w:r>
        <w:rPr>
          <w:rFonts w:hint="eastAsia" w:ascii="Times New Roman" w:hAnsi="Times New Roman" w:eastAsia="仿宋" w:cs="Times New Roman"/>
          <w:color w:val="auto"/>
          <w:sz w:val="24"/>
          <w:highlight w:val="none"/>
          <w:shd w:val="clear" w:color="auto" w:fill="auto"/>
          <w:lang w:val="en-US" w:eastAsia="zh-CN"/>
        </w:rPr>
        <w:t>至少具有2年以上猎头合作经验，且具有全日制大专学历或以上。</w:t>
      </w:r>
    </w:p>
    <w:p w14:paraId="4FF45DF0">
      <w:pPr>
        <w:pStyle w:val="6"/>
        <w:jc w:val="left"/>
        <w:outlineLvl w:val="9"/>
        <w:rPr>
          <w:rFonts w:hint="eastAsia" w:ascii="Times New Roman" w:hAnsi="Times New Roman" w:eastAsia="仿宋" w:cs="Times New Roman"/>
          <w:color w:val="auto"/>
          <w:kern w:val="2"/>
          <w:sz w:val="24"/>
          <w:szCs w:val="24"/>
          <w:highlight w:val="none"/>
          <w:shd w:val="clear" w:color="auto" w:fill="auto"/>
          <w:lang w:val="en-US" w:eastAsia="zh-CN" w:bidi="ar"/>
        </w:rPr>
      </w:pPr>
    </w:p>
    <w:p w14:paraId="48E7062E">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highlight w:val="none"/>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highlight w:val="none"/>
        </w:rPr>
        <w:t>3.3.</w:t>
      </w:r>
      <w:r>
        <w:rPr>
          <w:rFonts w:hint="eastAsia" w:ascii="仿宋" w:hAnsi="仿宋" w:eastAsia="仿宋" w:cs="仿宋"/>
          <w:b/>
          <w:sz w:val="28"/>
          <w:highlight w:val="none"/>
          <w:lang w:val="en-US" w:eastAsia="zh-CN"/>
        </w:rPr>
        <w:t>项目采购要求</w:t>
      </w:r>
    </w:p>
    <w:p w14:paraId="7B72936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highlight w:val="none"/>
          <w:lang w:val="en-US" w:eastAsia="zh-CN"/>
        </w:rPr>
      </w:pPr>
      <w:r>
        <w:rPr>
          <w:rFonts w:hint="eastAsia" w:ascii="仿宋" w:hAnsi="仿宋" w:eastAsia="仿宋" w:cs="仿宋"/>
          <w:b/>
          <w:sz w:val="28"/>
          <w:highlight w:val="none"/>
          <w:lang w:val="en-US" w:eastAsia="zh-CN"/>
        </w:rPr>
        <w:t>一、商务</w:t>
      </w:r>
      <w:r>
        <w:rPr>
          <w:rFonts w:hint="eastAsia" w:ascii="仿宋" w:hAnsi="仿宋" w:eastAsia="仿宋" w:cs="仿宋"/>
          <w:b/>
          <w:sz w:val="28"/>
          <w:highlight w:val="none"/>
        </w:rPr>
        <w:t>要求</w:t>
      </w:r>
      <w:r>
        <w:rPr>
          <w:rFonts w:hint="eastAsia" w:ascii="仿宋" w:hAnsi="仿宋" w:eastAsia="仿宋" w:cs="仿宋"/>
          <w:b/>
          <w:bCs/>
          <w:color w:val="000000"/>
          <w:sz w:val="28"/>
          <w:szCs w:val="28"/>
          <w:highlight w:val="none"/>
          <w:lang w:val="en-US" w:eastAsia="zh-CN"/>
        </w:rPr>
        <w:t>：</w:t>
      </w:r>
    </w:p>
    <w:p w14:paraId="4871C32A">
      <w:pPr>
        <w:pStyle w:val="2"/>
        <w:numPr>
          <w:ilvl w:val="-1"/>
          <w:numId w:val="0"/>
        </w:numPr>
        <w:rPr>
          <w:rFonts w:hint="eastAsia"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（1）</w:t>
      </w:r>
      <w:r>
        <w:rPr>
          <w:rFonts w:hint="default" w:ascii="Times New Roman" w:hAnsi="Times New Roman" w:eastAsia="仿宋" w:cs="Times New Roman"/>
          <w:color w:val="auto"/>
          <w:kern w:val="2"/>
          <w:sz w:val="24"/>
          <w:szCs w:val="24"/>
          <w:highlight w:val="none"/>
          <w:shd w:val="clear" w:color="auto" w:fill="auto"/>
          <w:lang w:val="en-US" w:eastAsia="zh-CN" w:bidi="ar-SA"/>
        </w:rPr>
        <w:t>服务期限：本项目合同期限为</w:t>
      </w:r>
      <w:r>
        <w:rPr>
          <w:rFonts w:hint="eastAsia" w:ascii="Times New Roman" w:hAnsi="Times New Roman" w:eastAsia="仿宋" w:cs="Times New Roman"/>
          <w:color w:val="auto"/>
          <w:kern w:val="2"/>
          <w:sz w:val="24"/>
          <w:szCs w:val="24"/>
          <w:highlight w:val="none"/>
          <w:shd w:val="clear" w:color="auto" w:fill="auto"/>
          <w:lang w:val="en-US" w:eastAsia="zh-CN" w:bidi="ar-SA"/>
        </w:rPr>
        <w:t>一</w:t>
      </w:r>
      <w:r>
        <w:rPr>
          <w:rFonts w:hint="default" w:ascii="Times New Roman" w:hAnsi="Times New Roman" w:eastAsia="仿宋" w:cs="Times New Roman"/>
          <w:color w:val="auto"/>
          <w:kern w:val="2"/>
          <w:sz w:val="24"/>
          <w:szCs w:val="24"/>
          <w:highlight w:val="none"/>
          <w:shd w:val="clear" w:color="auto" w:fill="auto"/>
          <w:lang w:val="en-US" w:eastAsia="zh-CN" w:bidi="ar-SA"/>
        </w:rPr>
        <w:t>年</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br w:type="textWrapping"/>
      </w:r>
      <w:r>
        <w:rPr>
          <w:rFonts w:hint="eastAsia" w:ascii="Times New Roman" w:hAnsi="Times New Roman" w:eastAsia="仿宋" w:cs="Times New Roman"/>
          <w:color w:val="auto"/>
          <w:kern w:val="2"/>
          <w:sz w:val="24"/>
          <w:szCs w:val="24"/>
          <w:highlight w:val="none"/>
          <w:shd w:val="clear" w:color="auto" w:fill="auto"/>
          <w:lang w:val="en-US" w:eastAsia="zh-CN" w:bidi="ar-SA"/>
        </w:rPr>
        <w:t>（2）报价要求：</w:t>
      </w:r>
    </w:p>
    <w:tbl>
      <w:tblPr>
        <w:tblStyle w:val="4"/>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60"/>
        <w:gridCol w:w="984"/>
        <w:gridCol w:w="3414"/>
      </w:tblGrid>
      <w:tr w14:paraId="01BB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0" w:type="dxa"/>
            <w:vAlign w:val="center"/>
          </w:tcPr>
          <w:p w14:paraId="17E89858">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序号</w:t>
            </w:r>
          </w:p>
        </w:tc>
        <w:tc>
          <w:tcPr>
            <w:tcW w:w="2160" w:type="dxa"/>
            <w:vAlign w:val="center"/>
          </w:tcPr>
          <w:p w14:paraId="0C506E8E">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职称</w:t>
            </w:r>
          </w:p>
        </w:tc>
        <w:tc>
          <w:tcPr>
            <w:tcW w:w="984" w:type="dxa"/>
            <w:vAlign w:val="center"/>
          </w:tcPr>
          <w:p w14:paraId="35C86633">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学位</w:t>
            </w:r>
          </w:p>
        </w:tc>
        <w:tc>
          <w:tcPr>
            <w:tcW w:w="3414" w:type="dxa"/>
            <w:vAlign w:val="center"/>
          </w:tcPr>
          <w:p w14:paraId="57F9C8AD">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单价限价（元/人）</w:t>
            </w:r>
          </w:p>
        </w:tc>
      </w:tr>
      <w:tr w14:paraId="2EB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40" w:type="dxa"/>
            <w:vAlign w:val="center"/>
          </w:tcPr>
          <w:p w14:paraId="28718020">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1</w:t>
            </w:r>
          </w:p>
        </w:tc>
        <w:tc>
          <w:tcPr>
            <w:tcW w:w="2160" w:type="dxa"/>
            <w:vAlign w:val="center"/>
          </w:tcPr>
          <w:p w14:paraId="6ABE58F7">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中级及以下职称</w:t>
            </w:r>
          </w:p>
        </w:tc>
        <w:tc>
          <w:tcPr>
            <w:tcW w:w="984" w:type="dxa"/>
            <w:vAlign w:val="center"/>
          </w:tcPr>
          <w:p w14:paraId="1D6D4665">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博士</w:t>
            </w:r>
          </w:p>
        </w:tc>
        <w:tc>
          <w:tcPr>
            <w:tcW w:w="3414" w:type="dxa"/>
            <w:vAlign w:val="center"/>
          </w:tcPr>
          <w:p w14:paraId="30000484">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25000.00</w:t>
            </w:r>
          </w:p>
        </w:tc>
      </w:tr>
      <w:tr w14:paraId="2013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40" w:type="dxa"/>
            <w:vAlign w:val="center"/>
          </w:tcPr>
          <w:p w14:paraId="21AF76A7">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2</w:t>
            </w:r>
          </w:p>
        </w:tc>
        <w:tc>
          <w:tcPr>
            <w:tcW w:w="2160" w:type="dxa"/>
            <w:vAlign w:val="center"/>
          </w:tcPr>
          <w:p w14:paraId="7638A3B7">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高级职称</w:t>
            </w:r>
          </w:p>
        </w:tc>
        <w:tc>
          <w:tcPr>
            <w:tcW w:w="984" w:type="dxa"/>
            <w:vAlign w:val="center"/>
          </w:tcPr>
          <w:p w14:paraId="527B6294">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博士</w:t>
            </w:r>
          </w:p>
        </w:tc>
        <w:tc>
          <w:tcPr>
            <w:tcW w:w="3414" w:type="dxa"/>
            <w:vAlign w:val="center"/>
          </w:tcPr>
          <w:p w14:paraId="4EE133AD">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50000.00</w:t>
            </w:r>
          </w:p>
        </w:tc>
      </w:tr>
      <w:tr w14:paraId="155F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0" w:type="dxa"/>
            <w:vAlign w:val="center"/>
          </w:tcPr>
          <w:p w14:paraId="6E120AB7">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3</w:t>
            </w:r>
          </w:p>
        </w:tc>
        <w:tc>
          <w:tcPr>
            <w:tcW w:w="2160" w:type="dxa"/>
            <w:vAlign w:val="center"/>
          </w:tcPr>
          <w:p w14:paraId="7D2D3EDD">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省级学科带头人</w:t>
            </w:r>
          </w:p>
        </w:tc>
        <w:tc>
          <w:tcPr>
            <w:tcW w:w="984" w:type="dxa"/>
            <w:vAlign w:val="center"/>
          </w:tcPr>
          <w:p w14:paraId="5266AA64">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博士</w:t>
            </w:r>
          </w:p>
        </w:tc>
        <w:tc>
          <w:tcPr>
            <w:tcW w:w="3414" w:type="dxa"/>
            <w:vAlign w:val="center"/>
          </w:tcPr>
          <w:p w14:paraId="3190E6EA">
            <w:pPr>
              <w:pStyle w:val="2"/>
              <w:jc w:val="center"/>
              <w:rPr>
                <w:rFonts w:hint="eastAsia" w:ascii="方正仿宋简体" w:hAnsi="方正仿宋简体" w:eastAsia="方正仿宋简体" w:cs="方正仿宋简体"/>
                <w:sz w:val="24"/>
                <w:szCs w:val="24"/>
                <w:highlight w:val="none"/>
                <w:vertAlign w:val="baseline"/>
                <w:lang w:val="en-US" w:eastAsia="zh-CN"/>
              </w:rPr>
            </w:pPr>
            <w:r>
              <w:rPr>
                <w:rFonts w:hint="eastAsia" w:ascii="方正仿宋简体" w:hAnsi="方正仿宋简体" w:eastAsia="方正仿宋简体" w:cs="方正仿宋简体"/>
                <w:sz w:val="24"/>
                <w:szCs w:val="24"/>
                <w:highlight w:val="none"/>
                <w:vertAlign w:val="baseline"/>
                <w:lang w:val="en-US" w:eastAsia="zh-CN"/>
              </w:rPr>
              <w:t>100000.00</w:t>
            </w:r>
          </w:p>
        </w:tc>
      </w:tr>
      <w:tr w14:paraId="001D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698" w:type="dxa"/>
            <w:gridSpan w:val="4"/>
            <w:vAlign w:val="center"/>
          </w:tcPr>
          <w:p w14:paraId="3EED794A">
            <w:pPr>
              <w:pStyle w:val="6"/>
              <w:widowControl w:val="0"/>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1.省级学科带头人为人力资源社会保障厅组织选拔推荐的省学术技术带头人。</w:t>
            </w:r>
          </w:p>
          <w:p w14:paraId="2A166B66">
            <w:pPr>
              <w:pStyle w:val="6"/>
              <w:widowControl w:val="0"/>
              <w:ind w:firstLine="480" w:firstLineChars="0"/>
              <w:jc w:val="left"/>
              <w:outlineLvl w:val="2"/>
              <w:rPr>
                <w:rFonts w:hint="eastAsia"/>
                <w:sz w:val="24"/>
                <w:szCs w:val="24"/>
                <w:highlight w:val="none"/>
                <w:vertAlign w:val="baseline"/>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2.供应商根据上述对应的职称报价标准报出统一下浮率。成交单价为单价限价*（1-统一下浮率）。供应商所报单价是其响应本项目要求的全部工作内容的价格体现，包括供应商完成本项目所需的一切单价，包含但不限于：人工、差旅、保险、税金、利润、风险、采购代理服务费和与本项目相关的可预见及不可预见的所需要的其他所有费用，采购人不再向成交供应商支付其他任何额外的费用。</w:t>
            </w:r>
          </w:p>
        </w:tc>
      </w:tr>
    </w:tbl>
    <w:p w14:paraId="4533B07F">
      <w:pPr>
        <w:pStyle w:val="2"/>
        <w:numPr>
          <w:ilvl w:val="-1"/>
          <w:numId w:val="0"/>
        </w:numPr>
        <w:rPr>
          <w:rFonts w:hint="eastAsia" w:ascii="Times New Roman" w:hAnsi="Times New Roman" w:eastAsia="仿宋" w:cs="Times New Roman"/>
          <w:color w:val="auto"/>
          <w:kern w:val="2"/>
          <w:sz w:val="24"/>
          <w:szCs w:val="24"/>
          <w:highlight w:val="none"/>
          <w:shd w:val="clear" w:color="auto" w:fill="auto"/>
          <w:lang w:val="en-US" w:eastAsia="zh-CN" w:bidi="ar-SA"/>
        </w:rPr>
      </w:pPr>
    </w:p>
    <w:p w14:paraId="46B2472E">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3）付款方式：根据实际入职人数进行分段支付，若未能成功推荐候选人入职的，采购人则不支付相应费用。成功推荐候选人入职，在候选人入职3个月后，采购人20日内向成交供应商支付对应职称成交单价的30%，待所聘职位候选人入职12个月后，采购人20日内向成交供应商支付成交单价余下的70%；若候选人未满12个月离职且供应商未重新推荐候选人入职，则不支付余下费用。</w:t>
      </w:r>
      <w:r>
        <w:rPr>
          <w:rFonts w:hint="eastAsia" w:ascii="Times New Roman" w:hAnsi="Times New Roman" w:eastAsia="仿宋" w:cs="Times New Roman"/>
          <w:b/>
          <w:bCs/>
          <w:color w:val="auto"/>
          <w:sz w:val="24"/>
          <w:highlight w:val="none"/>
          <w:shd w:val="clear" w:color="auto" w:fill="auto"/>
          <w:lang w:val="en-US" w:eastAsia="zh-CN"/>
        </w:rPr>
        <w:t>注：每次付款前，供应商应提供合法有效且符合采购人要求的发票；若供应商未提供符合采购人要求的支付票据资料，采购人有权拒绝付款且不构成违约。</w:t>
      </w:r>
    </w:p>
    <w:p w14:paraId="6F9EF21D">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4）验收方法和标准：参照政府采购相关法律法规以及《财政部关于进一步加强政府采购需求和履约验收管理的指导意见》（财库〔2016〕205号）的要求、采购文件的质量要求和技术指标、成交供应商的响应文件及承诺以及合同约定标准进行验收。</w:t>
      </w:r>
    </w:p>
    <w:p w14:paraId="3164C095">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（5）若本项目结算金额执行到采购合同金额，则本项目采购合同自动终止。</w:t>
      </w:r>
    </w:p>
    <w:p w14:paraId="668233A6">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（6）</w:t>
      </w:r>
      <w:r>
        <w:rPr>
          <w:rFonts w:hint="default" w:ascii="Times New Roman" w:hAnsi="Times New Roman" w:eastAsia="仿宋" w:cs="Times New Roman"/>
          <w:color w:val="auto"/>
          <w:sz w:val="24"/>
          <w:highlight w:val="none"/>
          <w:shd w:val="clear" w:color="auto" w:fill="auto"/>
          <w:lang w:val="en-US" w:eastAsia="zh-CN"/>
        </w:rPr>
        <w:t>违约责任与解决争议的方法：</w:t>
      </w:r>
      <w:r>
        <w:rPr>
          <w:rFonts w:hint="eastAsia" w:ascii="Times New Roman" w:hAnsi="Times New Roman" w:eastAsia="仿宋" w:cs="Times New Roman"/>
          <w:color w:val="auto"/>
          <w:sz w:val="24"/>
          <w:highlight w:val="none"/>
          <w:shd w:val="clear" w:color="auto" w:fill="auto"/>
          <w:lang w:val="en-US" w:eastAsia="zh-CN"/>
        </w:rPr>
        <w:t>在执行本项目中发生的或与本项目有关的争端，双方应通过友好协商解决，经协商在30天内不能达成协议时，可向采购人住所地人民法院提起诉讼解决争议。</w:t>
      </w:r>
    </w:p>
    <w:p w14:paraId="759F90A8">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（7）其他未尽事宜以采购合同中约定为准。</w:t>
      </w:r>
    </w:p>
    <w:p w14:paraId="6235D29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DB93D7-265A-4C56-97E1-52D08C5F9EBD}"/>
  </w:font>
  <w:font w:name="仿宋">
    <w:panose1 w:val="02010609060101010101"/>
    <w:charset w:val="86"/>
    <w:family w:val="auto"/>
    <w:pitch w:val="default"/>
    <w:sig w:usb0="800002BF" w:usb1="38CF7CFA" w:usb2="00000016" w:usb3="00000000" w:csb0="00040001" w:csb1="00000000"/>
    <w:embedRegular r:id="rId2" w:fontKey="{6F4540FA-7A5E-4F11-A5B2-326834CBE229}"/>
  </w:font>
  <w:font w:name="仿宋_GB2312">
    <w:altName w:val="仿宋"/>
    <w:panose1 w:val="02010609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ED9213DC-91A5-4645-93F8-10E3ABEE53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D2623"/>
    <w:rsid w:val="7B21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2220</Words>
  <Characters>2295</Characters>
  <Lines>0</Lines>
  <Paragraphs>0</Paragraphs>
  <TotalTime>0</TotalTime>
  <ScaleCrop>false</ScaleCrop>
  <LinksUpToDate>false</LinksUpToDate>
  <CharactersWithSpaces>2296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2025-06-30T08:07:00Z</dcterms:created>
  <dc:creator>Administrator</dc:creator>
  <cp:lastModifiedBy>SJ</cp:lastModifiedBy>
  <dcterms:modified xsi:type="dcterms:W3CDTF">2025-07-07T06:46:16Z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eyJoZGlkIjoiNzE0ZDA2NmExM2IyNjhiNTRiYmQ5NGZkMDIyMzUwN2IiLCJ1c2VySWQiOiIyNTYwMTc2MTQifQ==</vt:lpwstr>
  </property>
  <property fmtid="{D5CDD505-2E9C-101B-9397-08002B2CF9AE}" pid="4" name="ICV">
    <vt:lpwstr>CE785B11AC414987B5D0B41001A961EB_12</vt:lpwstr>
  </property>
</Properties>
</file>